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CLJHXJ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2005002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1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650"/>
        <w:gridCol w:w="212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江苏各港口-重庆珞璜港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7400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1.以上报价已含9%税率专用运输增值税发票；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2.未填单价部分视为自动放弃该段报价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3.报价有效期30天；</w:t>
      </w:r>
    </w:p>
    <w:p w14:paraId="706B54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8"/>
        </w:rPr>
        <w:t>的运力须充分满足每条运输区间的承运数量，否则该运输区间的报价无效。</w:t>
      </w:r>
    </w:p>
    <w:p w14:paraId="24C5FF16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D252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7F629F2-D18C-4398-8B54-6E7350820E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84A309-3ED2-47C9-908D-25BD5EECF59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038B223-8E26-470C-8773-0438364843B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  <w:r>
      <w:rPr>
        <w:sz w:val="18"/>
      </w:rPr>
      <w:pict>
        <v:shape id="PowerPlusWaterMarkObject33516" o:spid="_x0000_s4098" o:spt="136" type="#_x0000_t136" style="position:absolute;left:0pt;height:57.6pt;width:529.6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重庆轮船（集团）有限公司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12AE1077"/>
    <w:rsid w:val="18805C15"/>
    <w:rsid w:val="3342277B"/>
    <w:rsid w:val="451B0C7A"/>
    <w:rsid w:val="54B1657C"/>
    <w:rsid w:val="5F8B5C0B"/>
    <w:rsid w:val="67554BBD"/>
    <w:rsid w:val="6F2474E3"/>
    <w:rsid w:val="77B32B00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228</Characters>
  <Lines>0</Lines>
  <Paragraphs>0</Paragraphs>
  <TotalTime>12</TotalTime>
  <ScaleCrop>false</ScaleCrop>
  <LinksUpToDate>false</LinksUpToDate>
  <CharactersWithSpaces>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2025-01-06T02:49:00Z</cp:lastPrinted>
  <dcterms:modified xsi:type="dcterms:W3CDTF">2025-01-06T03:02:40Z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069596D17C14477EA8E293C9D62C916E_13</vt:lpwstr>
  </property>
</Properties>
</file>