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58"/>
          <w:tab w:val="center" w:pos="4218"/>
        </w:tabs>
        <w:spacing w:line="360" w:lineRule="auto"/>
        <w:jc w:val="center"/>
        <w:rPr>
          <w:rFonts w:hint="eastAsia" w:asciiTheme="majorEastAsia" w:hAnsiTheme="majorEastAsia" w:eastAsiaTheme="majorEastAsia"/>
          <w:b/>
          <w:color w:val="000000" w:themeColor="text1"/>
          <w:sz w:val="36"/>
          <w:szCs w:val="36"/>
          <w14:textFill>
            <w14:solidFill>
              <w14:schemeClr w14:val="tx1"/>
            </w14:solidFill>
          </w14:textFill>
        </w:rPr>
      </w:pPr>
    </w:p>
    <w:p>
      <w:pPr>
        <w:tabs>
          <w:tab w:val="left" w:pos="1558"/>
          <w:tab w:val="center" w:pos="4218"/>
        </w:tabs>
        <w:spacing w:line="360" w:lineRule="auto"/>
        <w:jc w:val="center"/>
        <w:rPr>
          <w:rFonts w:hint="eastAsia" w:ascii="方正小标宋_GBK" w:hAnsi="方正小标宋_GBK" w:eastAsia="方正小标宋_GBK" w:cs="方正小标宋_GBK"/>
          <w:b/>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color w:val="000000" w:themeColor="text1"/>
          <w:sz w:val="36"/>
          <w:szCs w:val="36"/>
          <w:lang w:val="en-US" w:eastAsia="zh-CN"/>
          <w14:textFill>
            <w14:solidFill>
              <w14:schemeClr w14:val="tx1"/>
            </w14:solidFill>
          </w14:textFill>
        </w:rPr>
        <w:t>130mLNG单燃料集散货船</w:t>
      </w:r>
      <w:r>
        <w:rPr>
          <w:rFonts w:hint="eastAsia" w:ascii="方正小标宋_GBK" w:hAnsi="方正小标宋_GBK" w:eastAsia="方正小标宋_GBK" w:cs="方正小标宋_GBK"/>
          <w:b/>
          <w:color w:val="000000" w:themeColor="text1"/>
          <w:sz w:val="36"/>
          <w:szCs w:val="36"/>
          <w14:textFill>
            <w14:solidFill>
              <w14:schemeClr w14:val="tx1"/>
            </w14:solidFill>
          </w14:textFill>
        </w:rPr>
        <w:t>船体建造工程劳务</w:t>
      </w:r>
    </w:p>
    <w:p>
      <w:pPr>
        <w:spacing w:line="360" w:lineRule="auto"/>
        <w:ind w:firstLine="3373" w:firstLineChars="1400"/>
        <w:outlineLvl w:val="1"/>
        <w:rPr>
          <w:rFonts w:hint="eastAsia" w:ascii="方正小标宋_GBK" w:hAnsi="方正小标宋_GBK" w:eastAsia="方正小标宋_GBK" w:cs="方正小标宋_GBK"/>
          <w:b/>
          <w:color w:val="000000" w:themeColor="text1"/>
          <w:sz w:val="24"/>
          <w14:textFill>
            <w14:solidFill>
              <w14:schemeClr w14:val="tx1"/>
            </w14:solidFill>
          </w14:textFill>
        </w:rPr>
      </w:pPr>
      <w:r>
        <w:rPr>
          <w:rFonts w:hint="eastAsia" w:ascii="方正小标宋_GBK" w:hAnsi="方正小标宋_GBK" w:eastAsia="方正小标宋_GBK" w:cs="方正小标宋_GBK"/>
          <w:b/>
          <w:color w:val="000000" w:themeColor="text1"/>
          <w:sz w:val="24"/>
          <w14:textFill>
            <w14:solidFill>
              <w14:schemeClr w14:val="tx1"/>
            </w14:solidFill>
          </w14:textFill>
        </w:rPr>
        <w:t>(工程编号：ZJ2</w:t>
      </w:r>
      <w:r>
        <w:rPr>
          <w:rFonts w:hint="eastAsia" w:ascii="方正小标宋_GBK" w:hAnsi="方正小标宋_GBK" w:eastAsia="方正小标宋_GBK" w:cs="方正小标宋_GBK"/>
          <w:b/>
          <w:color w:val="000000" w:themeColor="text1"/>
          <w:sz w:val="24"/>
          <w:lang w:val="en-US" w:eastAsia="zh-CN"/>
          <w14:textFill>
            <w14:solidFill>
              <w14:schemeClr w14:val="tx1"/>
            </w14:solidFill>
          </w14:textFill>
        </w:rPr>
        <w:t>5</w:t>
      </w:r>
      <w:r>
        <w:rPr>
          <w:rFonts w:hint="eastAsia" w:ascii="方正小标宋_GBK" w:hAnsi="方正小标宋_GBK" w:eastAsia="方正小标宋_GBK" w:cs="方正小标宋_GBK"/>
          <w:b/>
          <w:color w:val="000000" w:themeColor="text1"/>
          <w:sz w:val="24"/>
          <w14:textFill>
            <w14:solidFill>
              <w14:schemeClr w14:val="tx1"/>
            </w14:solidFill>
          </w14:textFill>
        </w:rPr>
        <w:t>-</w:t>
      </w:r>
      <w:r>
        <w:rPr>
          <w:rFonts w:hint="eastAsia" w:ascii="方正小标宋_GBK" w:hAnsi="方正小标宋_GBK" w:eastAsia="方正小标宋_GBK" w:cs="方正小标宋_GBK"/>
          <w:b/>
          <w:color w:val="000000" w:themeColor="text1"/>
          <w:sz w:val="24"/>
          <w:lang w:val="en-US" w:eastAsia="zh-CN"/>
          <w14:textFill>
            <w14:solidFill>
              <w14:schemeClr w14:val="tx1"/>
            </w14:solidFill>
          </w14:textFill>
        </w:rPr>
        <w:t>C1327</w:t>
      </w:r>
      <w:r>
        <w:rPr>
          <w:rFonts w:hint="eastAsia" w:ascii="方正小标宋_GBK" w:hAnsi="方正小标宋_GBK" w:eastAsia="方正小标宋_GBK" w:cs="方正小标宋_GBK"/>
          <w:b/>
          <w:color w:val="000000" w:themeColor="text1"/>
          <w:sz w:val="24"/>
          <w14:textFill>
            <w14:solidFill>
              <w14:schemeClr w14:val="tx1"/>
            </w14:solidFill>
          </w14:textFill>
        </w:rPr>
        <w:t>)</w:t>
      </w: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tabs>
          <w:tab w:val="left" w:pos="1558"/>
          <w:tab w:val="center" w:pos="4218"/>
        </w:tabs>
        <w:spacing w:line="360" w:lineRule="auto"/>
        <w:jc w:val="center"/>
        <w:rPr>
          <w:rFonts w:hint="eastAsia" w:ascii="方正小标宋_GBK" w:hAnsi="方正小标宋_GBK" w:eastAsia="方正小标宋_GBK" w:cs="方正小标宋_GBK"/>
          <w:b/>
          <w:color w:val="000000" w:themeColor="text1"/>
          <w:sz w:val="72"/>
          <w:szCs w:val="72"/>
          <w14:textFill>
            <w14:solidFill>
              <w14:schemeClr w14:val="tx1"/>
            </w14:solidFill>
          </w14:textFill>
        </w:rPr>
      </w:pPr>
      <w:r>
        <w:rPr>
          <w:rFonts w:hint="eastAsia" w:ascii="方正小标宋_GBK" w:hAnsi="方正小标宋_GBK" w:eastAsia="方正小标宋_GBK" w:cs="方正小标宋_GBK"/>
          <w:b/>
          <w:color w:val="000000" w:themeColor="text1"/>
          <w:sz w:val="72"/>
          <w:szCs w:val="72"/>
          <w14:textFill>
            <w14:solidFill>
              <w14:schemeClr w14:val="tx1"/>
            </w14:solidFill>
          </w14:textFill>
        </w:rPr>
        <w:t>竞争比选文件</w:t>
      </w: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hint="eastAsia" w:ascii="方正小标宋_GBK" w:hAnsi="方正小标宋_GBK" w:eastAsia="方正小标宋_GBK" w:cs="方正小标宋_GBK"/>
          <w:b/>
          <w:color w:val="000000" w:themeColor="text1"/>
          <w:sz w:val="24"/>
          <w14:textFill>
            <w14:solidFill>
              <w14:schemeClr w14:val="tx1"/>
            </w14:solidFill>
          </w14:textFill>
        </w:rPr>
      </w:pPr>
      <w:r>
        <w:rPr>
          <w:rFonts w:hint="eastAsia" w:ascii="方正小标宋_GBK" w:hAnsi="方正小标宋_GBK" w:eastAsia="方正小标宋_GBK" w:cs="方正小标宋_GBK"/>
          <w:b/>
          <w:color w:val="000000" w:themeColor="text1"/>
          <w:sz w:val="24"/>
          <w14:textFill>
            <w14:solidFill>
              <w14:schemeClr w14:val="tx1"/>
            </w14:solidFill>
          </w14:textFill>
        </w:rPr>
        <w:t>比选人：重庆中江船业有限公司</w:t>
      </w:r>
    </w:p>
    <w:p>
      <w:pPr>
        <w:spacing w:line="360" w:lineRule="auto"/>
        <w:jc w:val="center"/>
        <w:outlineLvl w:val="1"/>
        <w:rPr>
          <w:rFonts w:hint="eastAsia" w:ascii="方正小标宋_GBK" w:hAnsi="方正小标宋_GBK" w:eastAsia="方正小标宋_GBK" w:cs="方正小标宋_GBK"/>
          <w:b/>
          <w:color w:val="000000" w:themeColor="text1"/>
          <w:sz w:val="24"/>
          <w14:textFill>
            <w14:solidFill>
              <w14:schemeClr w14:val="tx1"/>
            </w14:solidFill>
          </w14:textFill>
        </w:rPr>
      </w:pPr>
      <w:r>
        <w:rPr>
          <w:rFonts w:hint="eastAsia" w:ascii="方正小标宋_GBK" w:hAnsi="方正小标宋_GBK" w:eastAsia="方正小标宋_GBK" w:cs="方正小标宋_GBK"/>
          <w:b/>
          <w:color w:val="000000" w:themeColor="text1"/>
          <w:sz w:val="24"/>
          <w14:textFill>
            <w14:solidFill>
              <w14:schemeClr w14:val="tx1"/>
            </w14:solidFill>
          </w14:textFill>
        </w:rPr>
        <w:t>202</w:t>
      </w:r>
      <w:r>
        <w:rPr>
          <w:rFonts w:hint="eastAsia" w:ascii="方正小标宋_GBK" w:hAnsi="方正小标宋_GBK" w:eastAsia="方正小标宋_GBK" w:cs="方正小标宋_GBK"/>
          <w:b/>
          <w:color w:val="000000" w:themeColor="text1"/>
          <w:sz w:val="24"/>
          <w:lang w:val="en-US" w:eastAsia="zh-CN"/>
          <w14:textFill>
            <w14:solidFill>
              <w14:schemeClr w14:val="tx1"/>
            </w14:solidFill>
          </w14:textFill>
        </w:rPr>
        <w:t>5</w:t>
      </w:r>
      <w:r>
        <w:rPr>
          <w:rFonts w:hint="eastAsia" w:ascii="方正小标宋_GBK" w:hAnsi="方正小标宋_GBK" w:eastAsia="方正小标宋_GBK" w:cs="方正小标宋_GBK"/>
          <w:b/>
          <w:color w:val="000000" w:themeColor="text1"/>
          <w:sz w:val="24"/>
          <w14:textFill>
            <w14:solidFill>
              <w14:schemeClr w14:val="tx1"/>
            </w14:solidFill>
          </w14:textFill>
        </w:rPr>
        <w:t>年</w:t>
      </w:r>
      <w:r>
        <w:rPr>
          <w:rFonts w:hint="eastAsia" w:ascii="方正小标宋_GBK" w:hAnsi="方正小标宋_GBK" w:eastAsia="方正小标宋_GBK" w:cs="方正小标宋_GBK"/>
          <w:b/>
          <w:color w:val="000000" w:themeColor="text1"/>
          <w:sz w:val="24"/>
          <w:lang w:val="en-US" w:eastAsia="zh-CN"/>
          <w14:textFill>
            <w14:solidFill>
              <w14:schemeClr w14:val="tx1"/>
            </w14:solidFill>
          </w14:textFill>
        </w:rPr>
        <w:t>5</w:t>
      </w:r>
      <w:r>
        <w:rPr>
          <w:rFonts w:hint="eastAsia" w:ascii="方正小标宋_GBK" w:hAnsi="方正小标宋_GBK" w:eastAsia="方正小标宋_GBK" w:cs="方正小标宋_GBK"/>
          <w:b/>
          <w:color w:val="000000" w:themeColor="text1"/>
          <w:sz w:val="24"/>
          <w14:textFill>
            <w14:solidFill>
              <w14:schemeClr w14:val="tx1"/>
            </w14:solidFill>
          </w14:textFill>
        </w:rPr>
        <w:t>月</w:t>
      </w:r>
      <w:r>
        <w:rPr>
          <w:rFonts w:hint="eastAsia" w:ascii="方正小标宋_GBK" w:hAnsi="方正小标宋_GBK" w:eastAsia="方正小标宋_GBK" w:cs="方正小标宋_GBK"/>
          <w:b/>
          <w:color w:val="000000" w:themeColor="text1"/>
          <w:sz w:val="24"/>
          <w:lang w:val="en-US" w:eastAsia="zh-CN"/>
          <w14:textFill>
            <w14:solidFill>
              <w14:schemeClr w14:val="tx1"/>
            </w14:solidFill>
          </w14:textFill>
        </w:rPr>
        <w:t>20</w:t>
      </w:r>
      <w:r>
        <w:rPr>
          <w:rFonts w:hint="eastAsia" w:ascii="方正小标宋_GBK" w:hAnsi="方正小标宋_GBK" w:eastAsia="方正小标宋_GBK" w:cs="方正小标宋_GBK"/>
          <w:b/>
          <w:color w:val="000000" w:themeColor="text1"/>
          <w:sz w:val="24"/>
          <w14:textFill>
            <w14:solidFill>
              <w14:schemeClr w14:val="tx1"/>
            </w14:solidFill>
          </w14:textFill>
        </w:rPr>
        <w:t>日</w:t>
      </w:r>
    </w:p>
    <w:p>
      <w:pPr>
        <w:widowControl/>
        <w:jc w:val="left"/>
        <w:rPr>
          <w:rFonts w:asciiTheme="majorEastAsia" w:hAnsiTheme="majorEastAsia" w:eastAsiaTheme="majorEastAsia"/>
          <w:b/>
          <w:color w:val="000000" w:themeColor="text1"/>
          <w:sz w:val="24"/>
          <w14:textFill>
            <w14:solidFill>
              <w14:schemeClr w14:val="tx1"/>
            </w14:solidFill>
          </w14:textFill>
        </w:rPr>
      </w:pPr>
      <w:r>
        <w:rPr>
          <w:rFonts w:asciiTheme="majorEastAsia" w:hAnsiTheme="majorEastAsia" w:eastAsiaTheme="majorEastAsia"/>
          <w:b/>
          <w:color w:val="000000" w:themeColor="text1"/>
          <w:sz w:val="24"/>
          <w14:textFill>
            <w14:solidFill>
              <w14:schemeClr w14:val="tx1"/>
            </w14:solidFill>
          </w14:textFill>
        </w:rPr>
        <w:br w:type="page"/>
      </w:r>
    </w:p>
    <w:p>
      <w:pPr>
        <w:spacing w:line="360" w:lineRule="auto"/>
        <w:jc w:val="center"/>
        <w:outlineLvl w:val="1"/>
        <w:rPr>
          <w:rFonts w:cs="楷体" w:asciiTheme="majorEastAsia" w:hAnsiTheme="majorEastAsia" w:eastAsiaTheme="majorEastAsia"/>
          <w:b/>
          <w:color w:val="000000" w:themeColor="text1"/>
          <w:sz w:val="24"/>
          <w14:textFill>
            <w14:solidFill>
              <w14:schemeClr w14:val="tx1"/>
            </w14:solidFill>
          </w14:textFill>
        </w:rPr>
      </w:pPr>
    </w:p>
    <w:p>
      <w:pPr>
        <w:spacing w:line="360" w:lineRule="auto"/>
        <w:jc w:val="center"/>
        <w:outlineLvl w:val="1"/>
        <w:rPr>
          <w:rFonts w:cs="楷体" w:asciiTheme="majorEastAsia" w:hAnsiTheme="majorEastAsia" w:eastAsiaTheme="majorEastAsia"/>
          <w:b/>
          <w:color w:val="000000" w:themeColor="text1"/>
          <w:sz w:val="32"/>
          <w:szCs w:val="32"/>
          <w14:textFill>
            <w14:solidFill>
              <w14:schemeClr w14:val="tx1"/>
            </w14:solidFill>
          </w14:textFill>
        </w:rPr>
      </w:pPr>
      <w:r>
        <w:rPr>
          <w:rFonts w:hint="eastAsia" w:cs="楷体" w:asciiTheme="majorEastAsia" w:hAnsiTheme="majorEastAsia" w:eastAsiaTheme="majorEastAsia"/>
          <w:b/>
          <w:color w:val="000000" w:themeColor="text1"/>
          <w:sz w:val="32"/>
          <w:szCs w:val="32"/>
          <w14:textFill>
            <w14:solidFill>
              <w14:schemeClr w14:val="tx1"/>
            </w14:solidFill>
          </w14:textFill>
        </w:rPr>
        <w:t>比 选 文 件 目 录</w:t>
      </w:r>
    </w:p>
    <w:p>
      <w:pPr>
        <w:spacing w:line="360" w:lineRule="auto"/>
        <w:jc w:val="center"/>
        <w:outlineLvl w:val="1"/>
        <w:rPr>
          <w:rFonts w:cs="楷体" w:asciiTheme="majorEastAsia" w:hAnsiTheme="majorEastAsia" w:eastAsiaTheme="majorEastAsia"/>
          <w:b/>
          <w:color w:val="000000" w:themeColor="text1"/>
          <w:sz w:val="32"/>
          <w:szCs w:val="32"/>
          <w14:textFill>
            <w14:solidFill>
              <w14:schemeClr w14:val="tx1"/>
            </w14:solidFill>
          </w14:textFill>
        </w:rPr>
      </w:pPr>
    </w:p>
    <w:p>
      <w:pPr>
        <w:spacing w:line="360" w:lineRule="auto"/>
        <w:jc w:val="distribute"/>
        <w:outlineLvl w:val="1"/>
        <w:rPr>
          <w:rFonts w:cs="楷体" w:asciiTheme="majorEastAsia" w:hAnsiTheme="majorEastAsia" w:eastAsiaTheme="majorEastAsia"/>
          <w:color w:val="000000" w:themeColor="text1"/>
          <w:sz w:val="28"/>
          <w:szCs w:val="28"/>
          <w14:textFill>
            <w14:solidFill>
              <w14:schemeClr w14:val="tx1"/>
            </w14:solidFill>
          </w14:textFill>
        </w:rPr>
      </w:pPr>
      <w:r>
        <w:rPr>
          <w:rFonts w:hint="eastAsia" w:cs="楷体" w:asciiTheme="majorEastAsia" w:hAnsiTheme="majorEastAsia" w:eastAsiaTheme="majorEastAsia"/>
          <w:color w:val="000000" w:themeColor="text1"/>
          <w:sz w:val="28"/>
          <w:szCs w:val="28"/>
          <w14:textFill>
            <w14:solidFill>
              <w14:schemeClr w14:val="tx1"/>
            </w14:solidFill>
          </w14:textFill>
        </w:rPr>
        <w:t>第一章  比选公告－--------------------------------------</w:t>
      </w:r>
      <w:r>
        <w:rPr>
          <w:rFonts w:hint="eastAsia" w:cs="楷体" w:asciiTheme="majorEastAsia" w:hAnsiTheme="majorEastAsia" w:eastAsiaTheme="majorEastAsia"/>
          <w:color w:val="000000" w:themeColor="text1"/>
          <w:sz w:val="28"/>
          <w:szCs w:val="28"/>
          <w:lang w:val="en-US" w:eastAsia="zh-CN"/>
          <w14:textFill>
            <w14:solidFill>
              <w14:schemeClr w14:val="tx1"/>
            </w14:solidFill>
          </w14:textFill>
        </w:rPr>
        <w:t>1-2</w:t>
      </w:r>
      <w:r>
        <w:rPr>
          <w:rFonts w:hint="eastAsia" w:cs="楷体" w:asciiTheme="majorEastAsia" w:hAnsiTheme="majorEastAsia" w:eastAsiaTheme="majorEastAsia"/>
          <w:color w:val="000000" w:themeColor="text1"/>
          <w:sz w:val="28"/>
          <w:szCs w:val="28"/>
          <w14:textFill>
            <w14:solidFill>
              <w14:schemeClr w14:val="tx1"/>
            </w14:solidFill>
          </w14:textFill>
        </w:rPr>
        <w:t xml:space="preserve"> </w:t>
      </w:r>
    </w:p>
    <w:p>
      <w:pPr>
        <w:spacing w:line="360" w:lineRule="auto"/>
        <w:jc w:val="distribute"/>
        <w:outlineLvl w:val="1"/>
        <w:rPr>
          <w:rFonts w:cs="楷体" w:asciiTheme="majorEastAsia" w:hAnsiTheme="majorEastAsia" w:eastAsiaTheme="majorEastAsia"/>
          <w:color w:val="000000" w:themeColor="text1"/>
          <w:sz w:val="28"/>
          <w:szCs w:val="28"/>
          <w14:textFill>
            <w14:solidFill>
              <w14:schemeClr w14:val="tx1"/>
            </w14:solidFill>
          </w14:textFill>
        </w:rPr>
      </w:pPr>
      <w:r>
        <w:rPr>
          <w:rFonts w:hint="eastAsia" w:cs="楷体" w:asciiTheme="majorEastAsia" w:hAnsiTheme="majorEastAsia" w:eastAsiaTheme="majorEastAsia"/>
          <w:color w:val="000000" w:themeColor="text1"/>
          <w:sz w:val="28"/>
          <w:szCs w:val="28"/>
          <w14:textFill>
            <w14:solidFill>
              <w14:schemeClr w14:val="tx1"/>
            </w14:solidFill>
          </w14:textFill>
        </w:rPr>
        <w:t>第二章  竞标须知－------------------------------------</w:t>
      </w:r>
      <w:r>
        <w:rPr>
          <w:rFonts w:hint="eastAsia" w:cs="楷体" w:asciiTheme="majorEastAsia" w:hAnsiTheme="majorEastAsia" w:eastAsiaTheme="majorEastAsia"/>
          <w:color w:val="000000" w:themeColor="text1"/>
          <w:sz w:val="28"/>
          <w:szCs w:val="28"/>
          <w:lang w:val="en-US" w:eastAsia="zh-CN"/>
          <w14:textFill>
            <w14:solidFill>
              <w14:schemeClr w14:val="tx1"/>
            </w14:solidFill>
          </w14:textFill>
        </w:rPr>
        <w:t>3</w:t>
      </w:r>
      <w:r>
        <w:rPr>
          <w:rFonts w:hint="eastAsia" w:cs="楷体" w:asciiTheme="majorEastAsia" w:hAnsiTheme="majorEastAsia" w:eastAsiaTheme="majorEastAsia"/>
          <w:color w:val="000000" w:themeColor="text1"/>
          <w:sz w:val="28"/>
          <w:szCs w:val="28"/>
          <w14:textFill>
            <w14:solidFill>
              <w14:schemeClr w14:val="tx1"/>
            </w14:solidFill>
          </w14:textFill>
        </w:rPr>
        <w:t>-12</w:t>
      </w:r>
    </w:p>
    <w:p>
      <w:pPr>
        <w:spacing w:line="360" w:lineRule="auto"/>
        <w:jc w:val="distribute"/>
        <w:outlineLvl w:val="1"/>
        <w:rPr>
          <w:rFonts w:cs="楷体" w:asciiTheme="majorEastAsia" w:hAnsiTheme="majorEastAsia" w:eastAsiaTheme="majorEastAsia"/>
          <w:color w:val="000000" w:themeColor="text1"/>
          <w:sz w:val="28"/>
          <w:szCs w:val="28"/>
          <w14:textFill>
            <w14:solidFill>
              <w14:schemeClr w14:val="tx1"/>
            </w14:solidFill>
          </w14:textFill>
        </w:rPr>
      </w:pPr>
      <w:r>
        <w:rPr>
          <w:rFonts w:hint="eastAsia" w:cs="楷体" w:asciiTheme="majorEastAsia" w:hAnsiTheme="majorEastAsia" w:eastAsiaTheme="majorEastAsia"/>
          <w:color w:val="000000" w:themeColor="text1"/>
          <w:sz w:val="28"/>
          <w:szCs w:val="28"/>
          <w14:textFill>
            <w14:solidFill>
              <w14:schemeClr w14:val="tx1"/>
            </w14:solidFill>
          </w14:textFill>
        </w:rPr>
        <w:t>第三章 工程内容及界面－--------------------------13-15</w:t>
      </w:r>
    </w:p>
    <w:p>
      <w:pPr>
        <w:spacing w:line="360" w:lineRule="auto"/>
        <w:jc w:val="distribute"/>
        <w:outlineLvl w:val="1"/>
        <w:rPr>
          <w:rFonts w:cs="楷体" w:asciiTheme="majorEastAsia" w:hAnsiTheme="majorEastAsia" w:eastAsiaTheme="majorEastAsia"/>
          <w:color w:val="000000" w:themeColor="text1"/>
          <w:sz w:val="28"/>
          <w:szCs w:val="28"/>
          <w14:textFill>
            <w14:solidFill>
              <w14:schemeClr w14:val="tx1"/>
            </w14:solidFill>
          </w14:textFill>
        </w:rPr>
      </w:pPr>
      <w:r>
        <w:rPr>
          <w:rFonts w:hint="eastAsia" w:cs="楷体" w:asciiTheme="majorEastAsia" w:hAnsiTheme="majorEastAsia" w:eastAsiaTheme="majorEastAsia"/>
          <w:color w:val="000000" w:themeColor="text1"/>
          <w:sz w:val="28"/>
          <w:szCs w:val="28"/>
          <w14:textFill>
            <w14:solidFill>
              <w14:schemeClr w14:val="tx1"/>
            </w14:solidFill>
          </w14:textFill>
        </w:rPr>
        <w:t>第四章  合同格式－--------------------------------------1</w:t>
      </w:r>
      <w:r>
        <w:rPr>
          <w:rFonts w:cs="楷体" w:asciiTheme="majorEastAsia" w:hAnsiTheme="majorEastAsia" w:eastAsiaTheme="majorEastAsia"/>
          <w:color w:val="000000" w:themeColor="text1"/>
          <w:sz w:val="28"/>
          <w:szCs w:val="28"/>
          <w14:textFill>
            <w14:solidFill>
              <w14:schemeClr w14:val="tx1"/>
            </w14:solidFill>
          </w14:textFill>
        </w:rPr>
        <w:t>6</w:t>
      </w:r>
      <w:r>
        <w:rPr>
          <w:rFonts w:hint="eastAsia" w:cs="楷体" w:asciiTheme="majorEastAsia" w:hAnsiTheme="majorEastAsia" w:eastAsiaTheme="majorEastAsia"/>
          <w:color w:val="000000" w:themeColor="text1"/>
          <w:sz w:val="28"/>
          <w:szCs w:val="28"/>
          <w14:textFill>
            <w14:solidFill>
              <w14:schemeClr w14:val="tx1"/>
            </w14:solidFill>
          </w14:textFill>
        </w:rPr>
        <w:t>-3</w:t>
      </w:r>
      <w:r>
        <w:rPr>
          <w:rFonts w:hint="eastAsia" w:cs="楷体" w:asciiTheme="majorEastAsia" w:hAnsiTheme="majorEastAsia" w:eastAsiaTheme="majorEastAsia"/>
          <w:color w:val="000000" w:themeColor="text1"/>
          <w:sz w:val="28"/>
          <w:szCs w:val="28"/>
          <w:lang w:val="en-US" w:eastAsia="zh-CN"/>
          <w14:textFill>
            <w14:solidFill>
              <w14:schemeClr w14:val="tx1"/>
            </w14:solidFill>
          </w14:textFill>
        </w:rPr>
        <w:t>5</w:t>
      </w:r>
    </w:p>
    <w:p>
      <w:pPr>
        <w:spacing w:line="360" w:lineRule="auto"/>
        <w:jc w:val="distribute"/>
        <w:outlineLvl w:val="1"/>
        <w:rPr>
          <w:rFonts w:cs="楷体" w:asciiTheme="majorEastAsia" w:hAnsiTheme="majorEastAsia" w:eastAsiaTheme="majorEastAsia"/>
          <w:color w:val="000000" w:themeColor="text1"/>
          <w:sz w:val="28"/>
          <w:szCs w:val="28"/>
          <w14:textFill>
            <w14:solidFill>
              <w14:schemeClr w14:val="tx1"/>
            </w14:solidFill>
          </w14:textFill>
        </w:rPr>
      </w:pPr>
      <w:r>
        <w:rPr>
          <w:rFonts w:hint="eastAsia" w:cs="楷体" w:asciiTheme="majorEastAsia" w:hAnsiTheme="majorEastAsia" w:eastAsiaTheme="majorEastAsia"/>
          <w:color w:val="000000" w:themeColor="text1"/>
          <w:sz w:val="28"/>
          <w:szCs w:val="28"/>
          <w14:textFill>
            <w14:solidFill>
              <w14:schemeClr w14:val="tx1"/>
            </w14:solidFill>
          </w14:textFill>
        </w:rPr>
        <w:t>第五章  比选参选书－--------------------------------------</w:t>
      </w:r>
      <w:r>
        <w:rPr>
          <w:rFonts w:hint="eastAsia" w:cs="楷体" w:asciiTheme="majorEastAsia" w:hAnsiTheme="majorEastAsia" w:eastAsiaTheme="majorEastAsia"/>
          <w:color w:val="000000" w:themeColor="text1"/>
          <w:sz w:val="28"/>
          <w:szCs w:val="28"/>
          <w:lang w:val="en-US" w:eastAsia="zh-CN"/>
          <w14:textFill>
            <w14:solidFill>
              <w14:schemeClr w14:val="tx1"/>
            </w14:solidFill>
          </w14:textFill>
        </w:rPr>
        <w:t>36-</w:t>
      </w:r>
      <w:r>
        <w:rPr>
          <w:rFonts w:hint="eastAsia" w:cs="楷体" w:asciiTheme="majorEastAsia" w:hAnsiTheme="majorEastAsia" w:eastAsiaTheme="majorEastAsia"/>
          <w:color w:val="000000" w:themeColor="text1"/>
          <w:sz w:val="28"/>
          <w:szCs w:val="28"/>
          <w14:textFill>
            <w14:solidFill>
              <w14:schemeClr w14:val="tx1"/>
            </w14:solidFill>
          </w14:textFill>
        </w:rPr>
        <w:t>3</w:t>
      </w:r>
      <w:r>
        <w:rPr>
          <w:rFonts w:cs="楷体" w:asciiTheme="majorEastAsia" w:hAnsiTheme="majorEastAsia" w:eastAsiaTheme="majorEastAsia"/>
          <w:color w:val="000000" w:themeColor="text1"/>
          <w:sz w:val="28"/>
          <w:szCs w:val="28"/>
          <w14:textFill>
            <w14:solidFill>
              <w14:schemeClr w14:val="tx1"/>
            </w14:solidFill>
          </w14:textFill>
        </w:rPr>
        <w:t>7</w:t>
      </w:r>
      <w:r>
        <w:rPr>
          <w:rFonts w:hint="eastAsia" w:cs="楷体" w:asciiTheme="majorEastAsia" w:hAnsiTheme="majorEastAsia" w:eastAsiaTheme="majorEastAsia"/>
          <w:color w:val="000000" w:themeColor="text1"/>
          <w:sz w:val="28"/>
          <w:szCs w:val="28"/>
          <w14:textFill>
            <w14:solidFill>
              <w14:schemeClr w14:val="tx1"/>
            </w14:solidFill>
          </w14:textFill>
        </w:rPr>
        <w:t>　</w:t>
      </w:r>
    </w:p>
    <w:p>
      <w:pPr>
        <w:spacing w:line="360" w:lineRule="auto"/>
        <w:jc w:val="distribute"/>
        <w:rPr>
          <w:rFonts w:cs="楷体" w:asciiTheme="majorEastAsia" w:hAnsiTheme="majorEastAsia" w:eastAsiaTheme="majorEastAsia"/>
          <w:color w:val="000000" w:themeColor="text1"/>
          <w:sz w:val="28"/>
          <w:szCs w:val="28"/>
          <w14:textFill>
            <w14:solidFill>
              <w14:schemeClr w14:val="tx1"/>
            </w14:solidFill>
          </w14:textFill>
        </w:rPr>
      </w:pPr>
      <w:r>
        <w:rPr>
          <w:rFonts w:hint="eastAsia" w:cs="楷体" w:asciiTheme="majorEastAsia" w:hAnsiTheme="majorEastAsia" w:eastAsiaTheme="majorEastAsia"/>
          <w:color w:val="000000" w:themeColor="text1"/>
          <w:sz w:val="28"/>
          <w:szCs w:val="28"/>
          <w14:textFill>
            <w14:solidFill>
              <w14:schemeClr w14:val="tx1"/>
            </w14:solidFill>
          </w14:textFill>
        </w:rPr>
        <w:t>第六章 辅助资料表－--------------------------------3</w:t>
      </w:r>
      <w:r>
        <w:rPr>
          <w:rFonts w:cs="楷体" w:asciiTheme="majorEastAsia" w:hAnsiTheme="majorEastAsia" w:eastAsiaTheme="majorEastAsia"/>
          <w:color w:val="000000" w:themeColor="text1"/>
          <w:sz w:val="28"/>
          <w:szCs w:val="28"/>
          <w14:textFill>
            <w14:solidFill>
              <w14:schemeClr w14:val="tx1"/>
            </w14:solidFill>
          </w14:textFill>
        </w:rPr>
        <w:t>8</w:t>
      </w:r>
      <w:r>
        <w:rPr>
          <w:rFonts w:hint="eastAsia" w:cs="楷体" w:asciiTheme="majorEastAsia" w:hAnsiTheme="majorEastAsia" w:eastAsiaTheme="majorEastAsia"/>
          <w:color w:val="000000" w:themeColor="text1"/>
          <w:sz w:val="28"/>
          <w:szCs w:val="28"/>
          <w14:textFill>
            <w14:solidFill>
              <w14:schemeClr w14:val="tx1"/>
            </w14:solidFill>
          </w14:textFill>
        </w:rPr>
        <w:t>-4</w:t>
      </w:r>
      <w:r>
        <w:rPr>
          <w:rFonts w:cs="楷体" w:asciiTheme="majorEastAsia" w:hAnsiTheme="majorEastAsia" w:eastAsiaTheme="majorEastAsia"/>
          <w:color w:val="000000" w:themeColor="text1"/>
          <w:sz w:val="28"/>
          <w:szCs w:val="28"/>
          <w14:textFill>
            <w14:solidFill>
              <w14:schemeClr w14:val="tx1"/>
            </w14:solidFill>
          </w14:textFill>
        </w:rPr>
        <w:t>5</w:t>
      </w:r>
      <w:r>
        <w:rPr>
          <w:rFonts w:hint="eastAsia" w:cs="楷体" w:asciiTheme="majorEastAsia" w:hAnsiTheme="majorEastAsia" w:eastAsiaTheme="majorEastAsia"/>
          <w:color w:val="000000" w:themeColor="text1"/>
          <w:sz w:val="28"/>
          <w:szCs w:val="28"/>
          <w14:textFill>
            <w14:solidFill>
              <w14:schemeClr w14:val="tx1"/>
            </w14:solidFill>
          </w14:textFill>
        </w:rPr>
        <w:t xml:space="preserve">  </w:t>
      </w:r>
    </w:p>
    <w:p>
      <w:pPr>
        <w:spacing w:line="360" w:lineRule="auto"/>
        <w:jc w:val="distribute"/>
        <w:rPr>
          <w:rFonts w:cs="楷体" w:asciiTheme="majorEastAsia" w:hAnsiTheme="majorEastAsia" w:eastAsiaTheme="majorEastAsia"/>
          <w:color w:val="000000" w:themeColor="text1"/>
          <w:sz w:val="28"/>
          <w:szCs w:val="28"/>
          <w14:textFill>
            <w14:solidFill>
              <w14:schemeClr w14:val="tx1"/>
            </w14:solidFill>
          </w14:textFill>
        </w:rPr>
      </w:pPr>
      <w:r>
        <w:rPr>
          <w:rFonts w:hint="eastAsia" w:cs="楷体" w:asciiTheme="majorEastAsia" w:hAnsiTheme="majorEastAsia" w:eastAsiaTheme="majorEastAsia"/>
          <w:color w:val="000000" w:themeColor="text1"/>
          <w:sz w:val="28"/>
          <w:szCs w:val="28"/>
          <w14:textFill>
            <w14:solidFill>
              <w14:schemeClr w14:val="tx1"/>
            </w14:solidFill>
          </w14:textFill>
        </w:rPr>
        <w:t>第七章 比选评标办法－----------------------------4</w:t>
      </w:r>
      <w:r>
        <w:rPr>
          <w:rFonts w:cs="楷体" w:asciiTheme="majorEastAsia" w:hAnsiTheme="majorEastAsia" w:eastAsiaTheme="majorEastAsia"/>
          <w:color w:val="000000" w:themeColor="text1"/>
          <w:sz w:val="28"/>
          <w:szCs w:val="28"/>
          <w14:textFill>
            <w14:solidFill>
              <w14:schemeClr w14:val="tx1"/>
            </w14:solidFill>
          </w14:textFill>
        </w:rPr>
        <w:t>6</w:t>
      </w:r>
      <w:r>
        <w:rPr>
          <w:rFonts w:hint="eastAsia" w:cs="楷体" w:asciiTheme="majorEastAsia" w:hAnsiTheme="majorEastAsia" w:eastAsiaTheme="majorEastAsia"/>
          <w:color w:val="000000" w:themeColor="text1"/>
          <w:sz w:val="28"/>
          <w:szCs w:val="28"/>
          <w14:textFill>
            <w14:solidFill>
              <w14:schemeClr w14:val="tx1"/>
            </w14:solidFill>
          </w14:textFill>
        </w:rPr>
        <w:t>-4</w:t>
      </w:r>
      <w:r>
        <w:rPr>
          <w:rFonts w:cs="楷体" w:asciiTheme="majorEastAsia" w:hAnsiTheme="majorEastAsia" w:eastAsiaTheme="majorEastAsia"/>
          <w:color w:val="000000" w:themeColor="text1"/>
          <w:sz w:val="28"/>
          <w:szCs w:val="28"/>
          <w14:textFill>
            <w14:solidFill>
              <w14:schemeClr w14:val="tx1"/>
            </w14:solidFill>
          </w14:textFill>
        </w:rPr>
        <w:t>8</w:t>
      </w:r>
    </w:p>
    <w:p>
      <w:pPr>
        <w:spacing w:line="360" w:lineRule="auto"/>
        <w:jc w:val="distribute"/>
        <w:rPr>
          <w:rFonts w:cs="楷体" w:asciiTheme="majorEastAsia" w:hAnsiTheme="majorEastAsia" w:eastAsiaTheme="majorEastAsia"/>
          <w:color w:val="000000" w:themeColor="text1"/>
          <w:sz w:val="24"/>
          <w14:textFill>
            <w14:solidFill>
              <w14:schemeClr w14:val="tx1"/>
            </w14:solidFill>
          </w14:textFill>
        </w:rPr>
      </w:pPr>
      <w:r>
        <w:rPr>
          <w:rFonts w:hint="eastAsia" w:cs="楷体" w:asciiTheme="majorEastAsia" w:hAnsiTheme="majorEastAsia" w:eastAsiaTheme="majorEastAsia"/>
          <w:color w:val="000000" w:themeColor="text1"/>
          <w:sz w:val="24"/>
          <w14:textFill>
            <w14:solidFill>
              <w14:schemeClr w14:val="tx1"/>
            </w14:solidFill>
          </w14:textFill>
        </w:rPr>
        <w:t xml:space="preserve">   </w:t>
      </w:r>
    </w:p>
    <w:p>
      <w:pPr>
        <w:spacing w:line="360" w:lineRule="auto"/>
        <w:jc w:val="center"/>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4"/>
          <w14:textFill>
            <w14:solidFill>
              <w14:schemeClr w14:val="tx1"/>
            </w14:solidFill>
          </w14:textFill>
        </w:rPr>
      </w:pPr>
    </w:p>
    <w:p>
      <w:pPr>
        <w:spacing w:line="360" w:lineRule="auto"/>
        <w:rPr>
          <w:rFonts w:asciiTheme="majorEastAsia" w:hAnsiTheme="majorEastAsia" w:eastAsiaTheme="majorEastAsia"/>
          <w:b/>
          <w:color w:val="000000" w:themeColor="text1"/>
          <w:sz w:val="24"/>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32"/>
          <w:szCs w:val="32"/>
          <w14:textFill>
            <w14:solidFill>
              <w14:schemeClr w14:val="tx1"/>
            </w14:solidFill>
          </w14:textFill>
        </w:rPr>
        <w:sectPr>
          <w:footerReference r:id="rId3" w:type="default"/>
          <w:pgSz w:w="11906" w:h="16838"/>
          <w:pgMar w:top="1134" w:right="1134" w:bottom="1134" w:left="1134" w:header="851" w:footer="992" w:gutter="0"/>
          <w:cols w:space="425" w:num="1"/>
          <w:docGrid w:linePitch="312" w:charSpace="0"/>
        </w:sectPr>
      </w:pPr>
    </w:p>
    <w:p>
      <w:pPr>
        <w:spacing w:line="360" w:lineRule="auto"/>
        <w:jc w:val="center"/>
        <w:rPr>
          <w:rFonts w:asciiTheme="majorEastAsia" w:hAnsiTheme="majorEastAsia" w:eastAsiaTheme="majorEastAsia"/>
          <w:b/>
          <w:color w:val="000000" w:themeColor="text1"/>
          <w:sz w:val="32"/>
          <w:szCs w:val="32"/>
          <w14:textFill>
            <w14:solidFill>
              <w14:schemeClr w14:val="tx1"/>
            </w14:solidFill>
          </w14:textFill>
        </w:rPr>
      </w:pPr>
      <w:r>
        <w:rPr>
          <w:rFonts w:hint="eastAsia" w:asciiTheme="majorEastAsia" w:hAnsiTheme="majorEastAsia" w:eastAsiaTheme="majorEastAsia"/>
          <w:b/>
          <w:color w:val="000000" w:themeColor="text1"/>
          <w:sz w:val="32"/>
          <w:szCs w:val="32"/>
          <w14:textFill>
            <w14:solidFill>
              <w14:schemeClr w14:val="tx1"/>
            </w14:solidFill>
          </w14:textFill>
        </w:rPr>
        <w:t>第一章  比选公告</w:t>
      </w:r>
    </w:p>
    <w:p>
      <w:pPr>
        <w:keepNext w:val="0"/>
        <w:keepLines w:val="0"/>
        <w:widowControl w:val="0"/>
        <w:suppressLineNumbers w:val="0"/>
        <w:suppressAutoHyphens/>
        <w:spacing w:before="0" w:beforeAutospacing="0" w:after="0" w:afterAutospacing="0" w:line="360" w:lineRule="auto"/>
        <w:ind w:left="0" w:right="0"/>
        <w:jc w:val="center"/>
        <w:rPr>
          <w:rFonts w:hint="eastAsia" w:ascii="方正小标宋_GBK" w:hAnsi="方正小标宋_GBK" w:eastAsia="方正小标宋_GBK" w:cs="方正小标宋_GBK"/>
          <w:b/>
          <w:color w:val="000000"/>
          <w:kern w:val="2"/>
          <w:sz w:val="36"/>
          <w:szCs w:val="36"/>
        </w:rPr>
      </w:pPr>
      <w:bookmarkStart w:id="0" w:name="OLE_LINK2"/>
      <w:bookmarkStart w:id="1" w:name="OLE_LINK1"/>
      <w:r>
        <w:rPr>
          <w:rFonts w:hint="eastAsia" w:ascii="方正小标宋_GBK" w:hAnsi="方正小标宋_GBK" w:eastAsia="方正小标宋_GBK" w:cs="方正小标宋_GBK"/>
          <w:b/>
          <w:color w:val="000000"/>
          <w:kern w:val="2"/>
          <w:sz w:val="36"/>
          <w:szCs w:val="36"/>
          <w:lang w:val="en-US" w:eastAsia="zh-CN" w:bidi="ar"/>
        </w:rPr>
        <w:t>重庆中江船业有限公司</w:t>
      </w:r>
    </w:p>
    <w:p>
      <w:pPr>
        <w:keepNext w:val="0"/>
        <w:keepLines w:val="0"/>
        <w:widowControl w:val="0"/>
        <w:suppressLineNumbers w:val="0"/>
        <w:suppressAutoHyphens/>
        <w:spacing w:before="0" w:beforeAutospacing="0" w:after="0" w:afterAutospacing="0" w:line="360" w:lineRule="auto"/>
        <w:ind w:left="0" w:right="0"/>
        <w:jc w:val="center"/>
        <w:rPr>
          <w:rFonts w:hint="eastAsia" w:ascii="方正小标宋_GBK" w:hAnsi="方正小标宋_GBK" w:eastAsia="方正小标宋_GBK" w:cs="方正小标宋_GBK"/>
          <w:b/>
          <w:color w:val="000000"/>
          <w:kern w:val="2"/>
          <w:sz w:val="36"/>
          <w:szCs w:val="36"/>
          <w:lang w:val="en-US" w:eastAsia="zh-CN" w:bidi="ar"/>
        </w:rPr>
      </w:pPr>
      <w:r>
        <w:rPr>
          <w:rFonts w:hint="eastAsia" w:ascii="方正小标宋_GBK" w:hAnsi="方正小标宋_GBK" w:eastAsia="方正小标宋_GBK" w:cs="方正小标宋_GBK"/>
          <w:b/>
          <w:color w:val="000000"/>
          <w:kern w:val="2"/>
          <w:sz w:val="36"/>
          <w:szCs w:val="36"/>
          <w:lang w:val="en-US" w:eastAsia="zh-CN" w:bidi="ar"/>
        </w:rPr>
        <w:t>关于130mLNG单燃料集散货船船体建造劳务工程</w:t>
      </w:r>
    </w:p>
    <w:p>
      <w:pPr>
        <w:keepNext w:val="0"/>
        <w:keepLines w:val="0"/>
        <w:widowControl w:val="0"/>
        <w:suppressLineNumbers w:val="0"/>
        <w:suppressAutoHyphens/>
        <w:spacing w:before="0" w:beforeAutospacing="0" w:after="0" w:afterAutospacing="0" w:line="360" w:lineRule="auto"/>
        <w:ind w:left="0" w:right="0"/>
        <w:jc w:val="center"/>
        <w:rPr>
          <w:rFonts w:hint="eastAsia" w:ascii="宋体" w:hAnsi="宋体" w:eastAsia="宋体" w:cs="Times New Roman"/>
          <w:color w:val="000000"/>
          <w:kern w:val="2"/>
          <w:sz w:val="28"/>
          <w:szCs w:val="28"/>
        </w:rPr>
      </w:pPr>
      <w:r>
        <w:rPr>
          <w:rFonts w:hint="eastAsia" w:ascii="方正小标宋_GBK" w:hAnsi="方正小标宋_GBK" w:eastAsia="方正小标宋_GBK" w:cs="方正小标宋_GBK"/>
          <w:b/>
          <w:color w:val="000000"/>
          <w:kern w:val="2"/>
          <w:sz w:val="36"/>
          <w:szCs w:val="36"/>
          <w:lang w:val="en-US" w:eastAsia="zh-CN" w:bidi="ar"/>
        </w:rPr>
        <w:t>竞争性比选公告</w:t>
      </w:r>
    </w:p>
    <w:p>
      <w:pPr>
        <w:keepNext w:val="0"/>
        <w:keepLines w:val="0"/>
        <w:widowControl w:val="0"/>
        <w:suppressLineNumbers w:val="0"/>
        <w:suppressAutoHyphens/>
        <w:spacing w:before="0" w:beforeAutospacing="0" w:after="0" w:afterAutospacing="0" w:line="460" w:lineRule="exact"/>
        <w:ind w:left="0" w:right="0" w:firstLine="560" w:firstLineChars="200"/>
        <w:jc w:val="both"/>
        <w:rPr>
          <w:rFonts w:hint="eastAsia" w:ascii="方正仿宋_GBK" w:hAnsi="方正仿宋_GBK" w:eastAsia="方正仿宋_GBK" w:cs="方正仿宋_GBK"/>
          <w:color w:val="000000"/>
          <w:kern w:val="2"/>
          <w:sz w:val="28"/>
          <w:szCs w:val="28"/>
        </w:rPr>
      </w:pPr>
      <w:r>
        <w:rPr>
          <w:rFonts w:hint="eastAsia" w:ascii="方正仿宋_GBK" w:hAnsi="方正仿宋_GBK" w:eastAsia="方正仿宋_GBK" w:cs="方正仿宋_GBK"/>
          <w:color w:val="000000"/>
          <w:kern w:val="2"/>
          <w:sz w:val="28"/>
          <w:szCs w:val="28"/>
          <w:lang w:val="en-US" w:eastAsia="zh-CN" w:bidi="ar"/>
        </w:rPr>
        <w:t>1、重庆中江船业有公司（以下简称“比选人”）现组织130mLNG单燃料集散货船（ZJ25-C1327）船体建造工程劳务项目的实施、交验和售后等竞争性比选招标，请符合资质要求的竞标人参加竞争性比选</w:t>
      </w:r>
      <w:bookmarkStart w:id="58" w:name="_GoBack"/>
      <w:bookmarkEnd w:id="58"/>
      <w:r>
        <w:rPr>
          <w:rFonts w:hint="eastAsia" w:ascii="方正仿宋_GBK" w:hAnsi="方正仿宋_GBK" w:eastAsia="方正仿宋_GBK" w:cs="方正仿宋_GBK"/>
          <w:color w:val="000000"/>
          <w:kern w:val="2"/>
          <w:sz w:val="28"/>
          <w:szCs w:val="28"/>
          <w:lang w:val="en-US" w:eastAsia="zh-CN" w:bidi="ar"/>
        </w:rPr>
        <w:t>。</w:t>
      </w:r>
    </w:p>
    <w:p>
      <w:pPr>
        <w:keepNext w:val="0"/>
        <w:keepLines w:val="0"/>
        <w:widowControl w:val="0"/>
        <w:suppressLineNumbers w:val="0"/>
        <w:suppressAutoHyphens/>
        <w:spacing w:before="0" w:beforeAutospacing="0" w:after="0" w:afterAutospacing="0" w:line="460" w:lineRule="exact"/>
        <w:ind w:left="0" w:right="0" w:firstLine="560" w:firstLineChars="200"/>
        <w:jc w:val="both"/>
        <w:rPr>
          <w:rFonts w:hint="eastAsia" w:ascii="方正仿宋_GBK" w:hAnsi="方正仿宋_GBK" w:eastAsia="方正仿宋_GBK" w:cs="方正仿宋_GBK"/>
          <w:strike/>
          <w:dstrike w:val="0"/>
          <w:color w:val="000000"/>
          <w:kern w:val="2"/>
          <w:sz w:val="28"/>
          <w:szCs w:val="28"/>
        </w:rPr>
      </w:pPr>
      <w:r>
        <w:rPr>
          <w:rFonts w:hint="eastAsia" w:ascii="方正仿宋_GBK" w:hAnsi="方正仿宋_GBK" w:eastAsia="方正仿宋_GBK" w:cs="方正仿宋_GBK"/>
          <w:color w:val="000000"/>
          <w:kern w:val="2"/>
          <w:sz w:val="28"/>
          <w:szCs w:val="28"/>
          <w:lang w:val="en-US" w:eastAsia="zh-CN" w:bidi="ar"/>
        </w:rPr>
        <w:t>2、请潜在竞标人于2025年5月22日起到重庆轮船（集团）有限公司网站的企业公告上下载竞争性比选文件及相关附件（网址：http://www.cqship.com/html/qygg/）。</w:t>
      </w:r>
    </w:p>
    <w:p>
      <w:pPr>
        <w:keepNext w:val="0"/>
        <w:keepLines w:val="0"/>
        <w:widowControl w:val="0"/>
        <w:suppressLineNumbers w:val="0"/>
        <w:suppressAutoHyphens/>
        <w:spacing w:before="0" w:beforeAutospacing="0" w:after="0" w:afterAutospacing="0" w:line="460" w:lineRule="exact"/>
        <w:ind w:left="0" w:right="0" w:firstLine="560" w:firstLineChars="200"/>
        <w:jc w:val="both"/>
        <w:rPr>
          <w:rFonts w:hint="eastAsia" w:ascii="方正仿宋_GBK" w:hAnsi="方正仿宋_GBK" w:eastAsia="方正仿宋_GBK" w:cs="方正仿宋_GBK"/>
          <w:color w:val="000000"/>
          <w:kern w:val="2"/>
          <w:sz w:val="28"/>
          <w:szCs w:val="28"/>
        </w:rPr>
      </w:pPr>
      <w:r>
        <w:rPr>
          <w:rFonts w:hint="eastAsia" w:ascii="方正仿宋_GBK" w:hAnsi="方正仿宋_GBK" w:eastAsia="方正仿宋_GBK" w:cs="方正仿宋_GBK"/>
          <w:color w:val="000000"/>
          <w:kern w:val="2"/>
          <w:sz w:val="28"/>
          <w:szCs w:val="28"/>
          <w:lang w:val="en-US" w:eastAsia="zh-CN" w:bidi="ar"/>
        </w:rPr>
        <w:t>3、我公司不组织工程现场考察及标前会议，请潜在竞标人认真阅读竞标文件，自行进行现场考察。</w:t>
      </w:r>
    </w:p>
    <w:p>
      <w:pPr>
        <w:keepNext w:val="0"/>
        <w:keepLines w:val="0"/>
        <w:widowControl w:val="0"/>
        <w:suppressLineNumbers w:val="0"/>
        <w:suppressAutoHyphens/>
        <w:spacing w:before="0" w:beforeAutospacing="0" w:after="0" w:afterAutospacing="0" w:line="460" w:lineRule="exact"/>
        <w:ind w:left="0" w:right="0" w:firstLine="560" w:firstLineChars="200"/>
        <w:jc w:val="both"/>
        <w:rPr>
          <w:rFonts w:hint="eastAsia" w:ascii="方正仿宋_GBK" w:hAnsi="方正仿宋_GBK" w:eastAsia="方正仿宋_GBK" w:cs="方正仿宋_GBK"/>
          <w:color w:val="000000"/>
          <w:kern w:val="2"/>
          <w:sz w:val="28"/>
          <w:szCs w:val="28"/>
        </w:rPr>
      </w:pPr>
      <w:r>
        <w:rPr>
          <w:rFonts w:hint="eastAsia" w:ascii="方正仿宋_GBK" w:hAnsi="方正仿宋_GBK" w:eastAsia="方正仿宋_GBK" w:cs="方正仿宋_GBK"/>
          <w:color w:val="000000"/>
          <w:kern w:val="2"/>
          <w:sz w:val="28"/>
          <w:szCs w:val="28"/>
          <w:lang w:val="en-US" w:eastAsia="zh-CN" w:bidi="ar"/>
        </w:rPr>
        <w:t>4、竞标人资格要求：</w:t>
      </w:r>
    </w:p>
    <w:p>
      <w:pPr>
        <w:keepNext w:val="0"/>
        <w:keepLines w:val="0"/>
        <w:widowControl w:val="0"/>
        <w:suppressLineNumbers w:val="0"/>
        <w:suppressAutoHyphens/>
        <w:spacing w:before="0" w:beforeAutospacing="0" w:after="0" w:afterAutospacing="0" w:line="460" w:lineRule="exact"/>
        <w:ind w:left="0" w:right="0" w:firstLine="560" w:firstLineChars="200"/>
        <w:jc w:val="both"/>
        <w:rPr>
          <w:rFonts w:hint="eastAsia" w:ascii="方正仿宋_GBK" w:hAnsi="方正仿宋_GBK" w:eastAsia="方正仿宋_GBK" w:cs="方正仿宋_GBK"/>
          <w:color w:val="000000"/>
          <w:kern w:val="2"/>
          <w:sz w:val="28"/>
          <w:szCs w:val="28"/>
        </w:rPr>
      </w:pPr>
      <w:r>
        <w:rPr>
          <w:rFonts w:hint="eastAsia" w:ascii="方正仿宋_GBK" w:hAnsi="方正仿宋_GBK" w:eastAsia="方正仿宋_GBK" w:cs="方正仿宋_GBK"/>
          <w:color w:val="000000"/>
          <w:kern w:val="2"/>
          <w:sz w:val="28"/>
          <w:szCs w:val="28"/>
          <w:lang w:val="en-US" w:eastAsia="zh-CN" w:bidi="ar"/>
        </w:rPr>
        <w:t xml:space="preserve">   具有独立承担民事责任的能力；良好的商业信誉和健全的财务会计制度；履行合同所必需的设备和专业技术能力；</w:t>
      </w:r>
    </w:p>
    <w:p>
      <w:pPr>
        <w:keepNext w:val="0"/>
        <w:keepLines w:val="0"/>
        <w:widowControl w:val="0"/>
        <w:suppressLineNumbers w:val="0"/>
        <w:suppressAutoHyphens/>
        <w:spacing w:before="0" w:beforeAutospacing="0" w:after="0" w:afterAutospacing="0" w:line="460" w:lineRule="exact"/>
        <w:ind w:left="0" w:right="0" w:firstLine="980" w:firstLineChars="350"/>
        <w:jc w:val="both"/>
        <w:rPr>
          <w:rFonts w:hint="eastAsia" w:ascii="方正仿宋_GBK" w:hAnsi="方正仿宋_GBK" w:eastAsia="方正仿宋_GBK" w:cs="方正仿宋_GBK"/>
          <w:color w:val="000000"/>
          <w:kern w:val="2"/>
          <w:sz w:val="28"/>
          <w:szCs w:val="28"/>
        </w:rPr>
      </w:pPr>
      <w:r>
        <w:rPr>
          <w:rFonts w:hint="eastAsia" w:ascii="方正仿宋_GBK" w:hAnsi="方正仿宋_GBK" w:eastAsia="方正仿宋_GBK" w:cs="方正仿宋_GBK"/>
          <w:color w:val="000000"/>
          <w:kern w:val="2"/>
          <w:sz w:val="28"/>
          <w:szCs w:val="28"/>
          <w:lang w:val="en-US" w:eastAsia="zh-CN" w:bidi="ar"/>
        </w:rPr>
        <w:t>有依法缴纳税收和社会保障资金的良好记录；</w:t>
      </w:r>
    </w:p>
    <w:p>
      <w:pPr>
        <w:keepNext w:val="0"/>
        <w:keepLines w:val="0"/>
        <w:widowControl w:val="0"/>
        <w:suppressLineNumbers w:val="0"/>
        <w:suppressAutoHyphens/>
        <w:spacing w:before="0" w:beforeAutospacing="0" w:after="0" w:afterAutospacing="0" w:line="460" w:lineRule="exact"/>
        <w:ind w:left="0" w:right="0" w:firstLine="980" w:firstLineChars="350"/>
        <w:jc w:val="both"/>
        <w:rPr>
          <w:rFonts w:hint="eastAsia" w:ascii="方正仿宋_GBK" w:hAnsi="方正仿宋_GBK" w:eastAsia="方正仿宋_GBK" w:cs="方正仿宋_GBK"/>
          <w:color w:val="000000"/>
          <w:kern w:val="2"/>
          <w:sz w:val="28"/>
          <w:szCs w:val="28"/>
        </w:rPr>
      </w:pPr>
      <w:r>
        <w:rPr>
          <w:rFonts w:hint="eastAsia" w:ascii="方正仿宋_GBK" w:hAnsi="方正仿宋_GBK" w:eastAsia="方正仿宋_GBK" w:cs="方正仿宋_GBK"/>
          <w:color w:val="000000"/>
          <w:kern w:val="2"/>
          <w:sz w:val="28"/>
          <w:szCs w:val="28"/>
          <w:lang w:val="en-US" w:eastAsia="zh-CN" w:bidi="ar"/>
        </w:rPr>
        <w:t>近三年内，在经营活动中没有重大违法记录；</w:t>
      </w:r>
    </w:p>
    <w:p>
      <w:pPr>
        <w:keepNext w:val="0"/>
        <w:keepLines w:val="0"/>
        <w:widowControl w:val="0"/>
        <w:suppressLineNumbers w:val="0"/>
        <w:suppressAutoHyphens/>
        <w:spacing w:before="0" w:beforeAutospacing="0" w:after="0" w:afterAutospacing="0" w:line="460" w:lineRule="exact"/>
        <w:ind w:left="0" w:right="0" w:firstLine="980" w:firstLineChars="350"/>
        <w:jc w:val="both"/>
        <w:rPr>
          <w:rFonts w:hint="eastAsia" w:ascii="方正仿宋_GBK" w:hAnsi="方正仿宋_GBK" w:eastAsia="方正仿宋_GBK" w:cs="方正仿宋_GBK"/>
          <w:color w:val="000000"/>
          <w:kern w:val="2"/>
          <w:sz w:val="28"/>
          <w:szCs w:val="28"/>
        </w:rPr>
      </w:pPr>
      <w:r>
        <w:rPr>
          <w:rFonts w:hint="eastAsia" w:ascii="方正仿宋_GBK" w:hAnsi="方正仿宋_GBK" w:eastAsia="方正仿宋_GBK" w:cs="方正仿宋_GBK"/>
          <w:color w:val="000000"/>
          <w:kern w:val="2"/>
          <w:sz w:val="28"/>
          <w:szCs w:val="28"/>
          <w:lang w:val="en-US" w:eastAsia="zh-CN" w:bidi="ar"/>
        </w:rPr>
        <w:t>企业经营资质必须满足船舶修理或建造、钢结构制作。</w:t>
      </w:r>
    </w:p>
    <w:p>
      <w:pPr>
        <w:keepNext w:val="0"/>
        <w:keepLines w:val="0"/>
        <w:widowControl w:val="0"/>
        <w:numPr>
          <w:ilvl w:val="0"/>
          <w:numId w:val="1"/>
        </w:numPr>
        <w:suppressLineNumbers w:val="0"/>
        <w:suppressAutoHyphens/>
        <w:spacing w:before="0" w:beforeAutospacing="0" w:after="0" w:afterAutospacing="0" w:line="460" w:lineRule="exact"/>
        <w:ind w:left="0" w:right="0" w:firstLine="560" w:firstLineChars="200"/>
        <w:jc w:val="both"/>
        <w:rPr>
          <w:rFonts w:hint="eastAsia" w:ascii="方正仿宋_GBK" w:hAnsi="方正仿宋_GBK" w:eastAsia="方正仿宋_GBK" w:cs="方正仿宋_GBK"/>
          <w:color w:val="000000"/>
          <w:kern w:val="2"/>
          <w:sz w:val="28"/>
          <w:szCs w:val="28"/>
          <w:lang w:val="en-US" w:eastAsia="zh-CN" w:bidi="ar"/>
        </w:rPr>
      </w:pPr>
      <w:r>
        <w:rPr>
          <w:rFonts w:hint="eastAsia" w:ascii="方正仿宋_GBK" w:hAnsi="方正仿宋_GBK" w:eastAsia="方正仿宋_GBK" w:cs="方正仿宋_GBK"/>
          <w:color w:val="000000"/>
          <w:kern w:val="2"/>
          <w:sz w:val="28"/>
          <w:szCs w:val="28"/>
          <w:lang w:val="en-US" w:eastAsia="zh-CN" w:bidi="ar"/>
        </w:rPr>
        <w:t>限价：210万/艘（含税3％）。</w:t>
      </w:r>
    </w:p>
    <w:p>
      <w:pPr>
        <w:keepNext w:val="0"/>
        <w:keepLines w:val="0"/>
        <w:widowControl w:val="0"/>
        <w:numPr>
          <w:ilvl w:val="0"/>
          <w:numId w:val="1"/>
        </w:numPr>
        <w:suppressLineNumbers w:val="0"/>
        <w:suppressAutoHyphens/>
        <w:spacing w:before="0" w:beforeAutospacing="0" w:after="0" w:afterAutospacing="0" w:line="460" w:lineRule="exact"/>
        <w:ind w:left="0" w:right="0" w:firstLine="560" w:firstLineChars="200"/>
        <w:jc w:val="both"/>
        <w:rPr>
          <w:rFonts w:hint="eastAsia" w:ascii="方正仿宋_GBK" w:hAnsi="方正仿宋_GBK" w:eastAsia="方正仿宋_GBK" w:cs="方正仿宋_GBK"/>
          <w:color w:val="000000"/>
          <w:kern w:val="2"/>
          <w:sz w:val="28"/>
          <w:szCs w:val="28"/>
        </w:rPr>
      </w:pPr>
      <w:r>
        <w:rPr>
          <w:rFonts w:hint="eastAsia" w:ascii="方正仿宋_GBK" w:hAnsi="方正仿宋_GBK" w:eastAsia="方正仿宋_GBK" w:cs="方正仿宋_GBK"/>
          <w:color w:val="000000"/>
          <w:kern w:val="2"/>
          <w:sz w:val="28"/>
          <w:szCs w:val="28"/>
          <w:lang w:val="en-US" w:eastAsia="zh-CN" w:bidi="ar"/>
        </w:rPr>
        <w:t xml:space="preserve">本项目竞标单位可根据生产情况，单艘安排2家船体施工单位进行施工，请竞标单位按单艘报价。           </w:t>
      </w:r>
    </w:p>
    <w:p>
      <w:pPr>
        <w:keepNext w:val="0"/>
        <w:keepLines w:val="0"/>
        <w:widowControl w:val="0"/>
        <w:suppressLineNumbers w:val="0"/>
        <w:suppressAutoHyphens/>
        <w:spacing w:before="0" w:beforeAutospacing="0" w:after="0" w:afterAutospacing="0" w:line="460" w:lineRule="exact"/>
        <w:ind w:left="1" w:right="0" w:firstLine="560" w:firstLineChars="200"/>
        <w:jc w:val="both"/>
        <w:rPr>
          <w:rFonts w:hint="eastAsia" w:ascii="方正仿宋_GBK" w:hAnsi="方正仿宋_GBK" w:eastAsia="方正仿宋_GBK" w:cs="方正仿宋_GBK"/>
          <w:color w:val="000000"/>
          <w:kern w:val="2"/>
          <w:sz w:val="28"/>
          <w:szCs w:val="28"/>
        </w:rPr>
      </w:pPr>
      <w:r>
        <w:rPr>
          <w:rFonts w:hint="eastAsia" w:ascii="方正仿宋_GBK" w:hAnsi="方正仿宋_GBK" w:eastAsia="方正仿宋_GBK" w:cs="方正仿宋_GBK"/>
          <w:color w:val="000000"/>
          <w:kern w:val="2"/>
          <w:sz w:val="28"/>
          <w:szCs w:val="28"/>
          <w:lang w:val="en-US" w:eastAsia="zh-CN" w:bidi="ar"/>
        </w:rPr>
        <w:t>7、竞标文件递交的截止时间为 2025年5月27日14时，竞标文件必须在上述时间之前递交至重庆中江船业有限公司造船部，</w:t>
      </w:r>
      <w:r>
        <w:rPr>
          <w:rFonts w:hint="eastAsia" w:ascii="方正仿宋_GBK" w:hAnsi="方正仿宋_GBK" w:eastAsia="方正仿宋_GBK" w:cs="方正仿宋_GBK"/>
          <w:color w:val="000000"/>
          <w:kern w:val="0"/>
          <w:sz w:val="28"/>
          <w:szCs w:val="28"/>
          <w:lang w:val="en-US" w:eastAsia="zh-CN" w:bidi="ar"/>
        </w:rPr>
        <w:t>逾期送达的或未送达指定地点的竞标文件，比选人</w:t>
      </w:r>
      <w:r>
        <w:rPr>
          <w:rFonts w:hint="eastAsia" w:ascii="方正仿宋_GBK" w:hAnsi="方正仿宋_GBK" w:eastAsia="方正仿宋_GBK" w:cs="方正仿宋_GBK"/>
          <w:color w:val="000000"/>
          <w:kern w:val="2"/>
          <w:sz w:val="28"/>
          <w:szCs w:val="28"/>
          <w:lang w:val="en-US" w:eastAsia="zh-CN" w:bidi="ar"/>
        </w:rPr>
        <w:t>不予受理。竞标单位定于竞标文件递交截止的同一时间、地点进行开标、评标。</w:t>
      </w:r>
    </w:p>
    <w:p>
      <w:pPr>
        <w:keepNext w:val="0"/>
        <w:keepLines w:val="0"/>
        <w:widowControl w:val="0"/>
        <w:suppressLineNumbers w:val="0"/>
        <w:suppressAutoHyphens/>
        <w:spacing w:before="0" w:beforeAutospacing="0" w:after="0" w:afterAutospacing="0" w:line="460" w:lineRule="exact"/>
        <w:ind w:left="0" w:right="0" w:firstLine="560" w:firstLineChars="200"/>
        <w:jc w:val="both"/>
        <w:rPr>
          <w:rFonts w:hint="eastAsia" w:ascii="方正仿宋_GBK" w:hAnsi="方正仿宋_GBK" w:eastAsia="方正仿宋_GBK" w:cs="方正仿宋_GBK"/>
          <w:color w:val="000000"/>
          <w:kern w:val="2"/>
          <w:sz w:val="28"/>
          <w:szCs w:val="28"/>
        </w:rPr>
      </w:pPr>
      <w:r>
        <w:rPr>
          <w:rFonts w:hint="eastAsia" w:ascii="方正仿宋_GBK" w:hAnsi="方正仿宋_GBK" w:eastAsia="方正仿宋_GBK" w:cs="方正仿宋_GBK"/>
          <w:color w:val="000000"/>
          <w:kern w:val="2"/>
          <w:sz w:val="28"/>
          <w:szCs w:val="28"/>
          <w:lang w:val="en-US" w:eastAsia="zh-CN" w:bidi="ar"/>
        </w:rPr>
        <w:t>8、开标会议定于2025年5月27日 14时在重庆中江船业有限公司现场会议室举行，竞标单位可派2人以内代表出席。</w:t>
      </w:r>
    </w:p>
    <w:p>
      <w:pPr>
        <w:keepNext w:val="0"/>
        <w:keepLines w:val="0"/>
        <w:widowControl w:val="0"/>
        <w:suppressLineNumbers w:val="0"/>
        <w:suppressAutoHyphens/>
        <w:spacing w:before="0" w:beforeAutospacing="0" w:after="0" w:afterAutospacing="0" w:line="460" w:lineRule="exact"/>
        <w:ind w:left="0" w:right="0" w:firstLine="560" w:firstLineChars="200"/>
        <w:jc w:val="both"/>
        <w:rPr>
          <w:rFonts w:hint="eastAsia" w:ascii="方正仿宋_GBK" w:hAnsi="方正仿宋_GBK" w:eastAsia="方正仿宋_GBK" w:cs="方正仿宋_GBK"/>
          <w:color w:val="000000"/>
          <w:kern w:val="2"/>
          <w:sz w:val="28"/>
          <w:szCs w:val="28"/>
        </w:rPr>
      </w:pPr>
      <w:r>
        <w:rPr>
          <w:rFonts w:hint="eastAsia" w:ascii="方正仿宋_GBK" w:hAnsi="方正仿宋_GBK" w:eastAsia="方正仿宋_GBK" w:cs="方正仿宋_GBK"/>
          <w:color w:val="000000"/>
          <w:kern w:val="2"/>
          <w:sz w:val="28"/>
          <w:szCs w:val="28"/>
          <w:lang w:val="en-US" w:eastAsia="zh-CN" w:bidi="ar"/>
        </w:rPr>
        <w:t>9、有关竞标详细要求请参照比选文件。</w:t>
      </w:r>
    </w:p>
    <w:p>
      <w:pPr>
        <w:keepNext w:val="0"/>
        <w:keepLines w:val="0"/>
        <w:widowControl w:val="0"/>
        <w:suppressLineNumbers w:val="0"/>
        <w:suppressAutoHyphens/>
        <w:spacing w:before="0" w:beforeAutospacing="0" w:after="0" w:afterAutospacing="0" w:line="460" w:lineRule="exact"/>
        <w:ind w:left="546" w:leftChars="260" w:right="0" w:firstLine="2100" w:firstLineChars="750"/>
        <w:jc w:val="both"/>
        <w:rPr>
          <w:rFonts w:hint="eastAsia" w:ascii="方正仿宋_GBK" w:hAnsi="方正仿宋_GBK" w:eastAsia="方正仿宋_GBK" w:cs="方正仿宋_GBK"/>
          <w:color w:val="000000"/>
          <w:kern w:val="2"/>
          <w:sz w:val="28"/>
          <w:szCs w:val="28"/>
        </w:rPr>
      </w:pPr>
      <w:r>
        <w:rPr>
          <w:rFonts w:hint="eastAsia" w:ascii="方正仿宋_GBK" w:hAnsi="方正仿宋_GBK" w:eastAsia="方正仿宋_GBK" w:cs="方正仿宋_GBK"/>
          <w:color w:val="000000"/>
          <w:kern w:val="2"/>
          <w:sz w:val="28"/>
          <w:szCs w:val="28"/>
          <w:lang w:val="en-US" w:eastAsia="zh-CN" w:bidi="ar"/>
        </w:rPr>
        <w:t>比 选 人：重庆中江船业有限公司</w:t>
      </w:r>
    </w:p>
    <w:p>
      <w:pPr>
        <w:pStyle w:val="13"/>
        <w:keepNext w:val="0"/>
        <w:keepLines w:val="0"/>
        <w:widowControl/>
        <w:suppressLineNumbers w:val="0"/>
        <w:spacing w:line="460" w:lineRule="exact"/>
        <w:ind w:left="540" w:leftChars="257" w:firstLine="2100" w:firstLineChars="750"/>
        <w:rPr>
          <w:rFonts w:hint="eastAsia" w:ascii="方正仿宋_GBK" w:hAnsi="方正仿宋_GBK" w:eastAsia="方正仿宋_GBK" w:cs="方正仿宋_GBK"/>
          <w:color w:val="000000"/>
          <w:kern w:val="2"/>
          <w:sz w:val="28"/>
          <w:szCs w:val="28"/>
        </w:rPr>
      </w:pPr>
      <w:r>
        <w:rPr>
          <w:rFonts w:hint="eastAsia" w:ascii="方正仿宋_GBK" w:hAnsi="方正仿宋_GBK" w:eastAsia="方正仿宋_GBK" w:cs="方正仿宋_GBK"/>
          <w:color w:val="000000"/>
          <w:kern w:val="2"/>
          <w:sz w:val="28"/>
          <w:szCs w:val="28"/>
        </w:rPr>
        <w:t>地    址：重庆市涪陵区珍溪镇中江路1号</w:t>
      </w:r>
    </w:p>
    <w:p>
      <w:pPr>
        <w:pStyle w:val="13"/>
        <w:keepNext w:val="0"/>
        <w:keepLines w:val="0"/>
        <w:widowControl/>
        <w:suppressLineNumbers w:val="0"/>
        <w:spacing w:line="460" w:lineRule="exact"/>
        <w:ind w:left="540" w:leftChars="257" w:firstLine="2100" w:firstLineChars="750"/>
        <w:rPr>
          <w:rFonts w:hint="eastAsia" w:ascii="方正仿宋_GBK" w:hAnsi="方正仿宋_GBK" w:eastAsia="方正仿宋_GBK" w:cs="方正仿宋_GBK"/>
          <w:color w:val="000000"/>
          <w:kern w:val="2"/>
          <w:sz w:val="28"/>
          <w:szCs w:val="28"/>
        </w:rPr>
      </w:pPr>
      <w:r>
        <w:rPr>
          <w:rFonts w:hint="eastAsia" w:ascii="方正仿宋_GBK" w:hAnsi="方正仿宋_GBK" w:eastAsia="方正仿宋_GBK" w:cs="方正仿宋_GBK"/>
          <w:color w:val="000000"/>
          <w:kern w:val="2"/>
          <w:sz w:val="28"/>
          <w:szCs w:val="28"/>
        </w:rPr>
        <w:t>电话（传真）：023-8569601</w:t>
      </w:r>
      <w:r>
        <w:rPr>
          <w:rFonts w:hint="eastAsia" w:ascii="方正仿宋_GBK" w:hAnsi="方正仿宋_GBK" w:eastAsia="方正仿宋_GBK" w:cs="方正仿宋_GBK"/>
          <w:color w:val="000000"/>
          <w:kern w:val="2"/>
          <w:sz w:val="28"/>
          <w:szCs w:val="28"/>
          <w:lang w:val="en-US" w:eastAsia="zh-CN"/>
        </w:rPr>
        <w:t>6</w:t>
      </w:r>
      <w:r>
        <w:rPr>
          <w:rFonts w:hint="eastAsia" w:ascii="方正仿宋_GBK" w:hAnsi="方正仿宋_GBK" w:eastAsia="方正仿宋_GBK" w:cs="方正仿宋_GBK"/>
          <w:color w:val="000000"/>
          <w:kern w:val="2"/>
          <w:sz w:val="28"/>
          <w:szCs w:val="28"/>
        </w:rPr>
        <w:t xml:space="preserve">  </w:t>
      </w:r>
    </w:p>
    <w:p>
      <w:pPr>
        <w:pStyle w:val="13"/>
        <w:keepNext w:val="0"/>
        <w:keepLines w:val="0"/>
        <w:widowControl/>
        <w:suppressLineNumbers w:val="0"/>
        <w:spacing w:line="460" w:lineRule="exact"/>
        <w:ind w:left="540" w:leftChars="257" w:firstLine="2100" w:firstLineChars="750"/>
        <w:rPr>
          <w:rFonts w:hint="eastAsia" w:ascii="宋体" w:hAnsi="宋体" w:cs="宋体"/>
          <w:b/>
          <w:sz w:val="18"/>
          <w:szCs w:val="18"/>
        </w:rPr>
      </w:pPr>
      <w:r>
        <w:rPr>
          <w:rFonts w:hint="eastAsia" w:ascii="方正仿宋_GBK" w:hAnsi="方正仿宋_GBK" w:eastAsia="方正仿宋_GBK" w:cs="方正仿宋_GBK"/>
          <w:color w:val="000000"/>
          <w:kern w:val="2"/>
          <w:sz w:val="28"/>
          <w:szCs w:val="28"/>
        </w:rPr>
        <w:t xml:space="preserve">联 系 人：    张云    13996761875  </w:t>
      </w:r>
      <w:bookmarkEnd w:id="0"/>
      <w:bookmarkEnd w:id="1"/>
    </w:p>
    <w:p>
      <w:pPr>
        <w:spacing w:line="460" w:lineRule="exac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pPr>
        <w:widowControl/>
        <w:jc w:val="left"/>
        <w:rPr>
          <w:rFonts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方正小标宋_GBK" w:hAnsi="方正小标宋_GBK" w:eastAsia="方正小标宋_GBK" w:cs="方正小标宋_GBK"/>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color w:val="000000" w:themeColor="text1"/>
          <w:sz w:val="32"/>
          <w:szCs w:val="32"/>
          <w14:textFill>
            <w14:solidFill>
              <w14:schemeClr w14:val="tx1"/>
            </w14:solidFill>
          </w14:textFill>
        </w:rPr>
        <w:t>第二章  竞标须知</w:t>
      </w:r>
    </w:p>
    <w:p>
      <w:pPr>
        <w:spacing w:line="360" w:lineRule="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一、</w:t>
      </w:r>
      <w:bookmarkStart w:id="2" w:name="OLE_LINK18"/>
      <w:r>
        <w:rPr>
          <w:rFonts w:hint="eastAsia" w:ascii="方正仿宋_GBK" w:hAnsi="方正仿宋_GBK" w:eastAsia="方正仿宋_GBK" w:cs="方正仿宋_GBK"/>
          <w:b/>
          <w:color w:val="000000" w:themeColor="text1"/>
          <w:sz w:val="28"/>
          <w:szCs w:val="28"/>
          <w14:textFill>
            <w14:solidFill>
              <w14:schemeClr w14:val="tx1"/>
            </w14:solidFill>
          </w14:textFill>
        </w:rPr>
        <w:t>竞标人</w:t>
      </w:r>
      <w:bookmarkEnd w:id="2"/>
      <w:r>
        <w:rPr>
          <w:rFonts w:hint="eastAsia" w:ascii="方正仿宋_GBK" w:hAnsi="方正仿宋_GBK" w:eastAsia="方正仿宋_GBK" w:cs="方正仿宋_GBK"/>
          <w:b/>
          <w:color w:val="000000" w:themeColor="text1"/>
          <w:sz w:val="28"/>
          <w:szCs w:val="28"/>
          <w14:textFill>
            <w14:solidFill>
              <w14:schemeClr w14:val="tx1"/>
            </w14:solidFill>
          </w14:textFill>
        </w:rPr>
        <w:t>须知前附表</w:t>
      </w:r>
    </w:p>
    <w:tbl>
      <w:tblPr>
        <w:tblStyle w:val="16"/>
        <w:tblW w:w="87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66"/>
        <w:gridCol w:w="1364"/>
        <w:gridCol w:w="5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exact"/>
          <w:jc w:val="center"/>
        </w:trPr>
        <w:tc>
          <w:tcPr>
            <w:tcW w:w="813" w:type="dxa"/>
            <w:vAlign w:val="center"/>
          </w:tcPr>
          <w:p>
            <w:pPr>
              <w:tabs>
                <w:tab w:val="left" w:pos="3225"/>
              </w:tabs>
              <w:adjustRightInd w:val="0"/>
              <w:snapToGrid w:val="0"/>
              <w:spacing w:line="360" w:lineRule="auto"/>
              <w:jc w:val="cente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项号</w:t>
            </w:r>
          </w:p>
        </w:tc>
        <w:tc>
          <w:tcPr>
            <w:tcW w:w="7948" w:type="dxa"/>
            <w:gridSpan w:val="3"/>
            <w:vAlign w:val="center"/>
          </w:tcPr>
          <w:p>
            <w:pPr>
              <w:tabs>
                <w:tab w:val="left" w:pos="3225"/>
              </w:tabs>
              <w:adjustRightInd w:val="0"/>
              <w:snapToGrid w:val="0"/>
              <w:spacing w:line="360" w:lineRule="auto"/>
              <w:jc w:val="cente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jc w:val="center"/>
        </w:trPr>
        <w:tc>
          <w:tcPr>
            <w:tcW w:w="813" w:type="dxa"/>
            <w:vAlign w:val="center"/>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p>
        </w:tc>
        <w:tc>
          <w:tcPr>
            <w:tcW w:w="1166" w:type="dxa"/>
            <w:vAlign w:val="center"/>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工程</w:t>
            </w:r>
          </w:p>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综合</w:t>
            </w:r>
          </w:p>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说明</w:t>
            </w:r>
          </w:p>
        </w:tc>
        <w:tc>
          <w:tcPr>
            <w:tcW w:w="6782" w:type="dxa"/>
            <w:gridSpan w:val="2"/>
            <w:vAlign w:val="center"/>
          </w:tcPr>
          <w:p>
            <w:pPr>
              <w:tabs>
                <w:tab w:val="left" w:pos="3225"/>
              </w:tabs>
              <w:adjustRightInd w:val="0"/>
              <w:snapToGrid w:val="0"/>
              <w:spacing w:line="320" w:lineRule="exact"/>
              <w:rPr>
                <w:rFonts w:hint="eastAsia" w:ascii="方正仿宋_GBK" w:hAnsi="方正仿宋_GBK" w:eastAsia="方正仿宋_GBK" w:cs="方正仿宋_GBK"/>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工程名称：</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130mLNG单燃料集散货船</w:t>
            </w:r>
            <w:r>
              <w:rPr>
                <w:rFonts w:hint="eastAsia" w:ascii="方正仿宋_GBK" w:hAnsi="方正仿宋_GBK" w:eastAsia="方正仿宋_GBK" w:cs="方正仿宋_GBK"/>
                <w:color w:val="000000" w:themeColor="text1"/>
                <w:sz w:val="28"/>
                <w:szCs w:val="28"/>
                <w14:textFill>
                  <w14:solidFill>
                    <w14:schemeClr w14:val="tx1"/>
                  </w14:solidFill>
                </w14:textFill>
              </w:rPr>
              <w:t>船体建造工程（</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壹</w:t>
            </w:r>
            <w:r>
              <w:rPr>
                <w:rFonts w:hint="eastAsia" w:ascii="方正仿宋_GBK" w:hAnsi="方正仿宋_GBK" w:eastAsia="方正仿宋_GBK" w:cs="方正仿宋_GBK"/>
                <w:color w:val="000000" w:themeColor="text1"/>
                <w:sz w:val="28"/>
                <w:szCs w:val="28"/>
                <w14:textFill>
                  <w14:solidFill>
                    <w14:schemeClr w14:val="tx1"/>
                  </w14:solidFill>
                </w14:textFill>
              </w:rPr>
              <w:t>艘）</w:t>
            </w:r>
          </w:p>
          <w:p>
            <w:pPr>
              <w:tabs>
                <w:tab w:val="left" w:pos="3225"/>
              </w:tabs>
              <w:adjustRightInd w:val="0"/>
              <w:snapToGrid w:val="0"/>
              <w:spacing w:line="32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工程地点：重庆市涪陵区珍溪镇中江路1号</w:t>
            </w:r>
          </w:p>
          <w:p>
            <w:pPr>
              <w:tabs>
                <w:tab w:val="left" w:pos="3225"/>
              </w:tabs>
              <w:adjustRightInd w:val="0"/>
              <w:snapToGrid w:val="0"/>
              <w:spacing w:line="32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承包方式：劳务</w:t>
            </w:r>
          </w:p>
          <w:p>
            <w:pPr>
              <w:tabs>
                <w:tab w:val="left" w:pos="3225"/>
              </w:tabs>
              <w:adjustRightInd w:val="0"/>
              <w:snapToGrid w:val="0"/>
              <w:spacing w:line="320" w:lineRule="exact"/>
              <w:rPr>
                <w:rFonts w:hint="eastAsia" w:ascii="方正仿宋_GBK" w:hAnsi="方正仿宋_GBK" w:eastAsia="方正仿宋_GBK" w:cs="方正仿宋_GBK"/>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总体工期：202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8"/>
                <w:szCs w:val="28"/>
                <w14:textFill>
                  <w14:solidFill>
                    <w14:schemeClr w14:val="tx1"/>
                  </w14:solidFill>
                </w14:textFill>
              </w:rPr>
              <w:t>日 ～ 2025年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14:textFill>
                  <w14:solidFill>
                    <w14:schemeClr w14:val="tx1"/>
                  </w14:solidFill>
                </w14:textFill>
              </w:rPr>
              <w:t>月30日</w:t>
            </w:r>
          </w:p>
          <w:p>
            <w:pPr>
              <w:tabs>
                <w:tab w:val="left" w:pos="3225"/>
              </w:tabs>
              <w:adjustRightInd w:val="0"/>
              <w:snapToGrid w:val="0"/>
              <w:spacing w:line="32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质量要求：优良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exact"/>
          <w:jc w:val="center"/>
        </w:trPr>
        <w:tc>
          <w:tcPr>
            <w:tcW w:w="813" w:type="dxa"/>
            <w:vMerge w:val="restart"/>
            <w:vAlign w:val="center"/>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w:t>
            </w:r>
          </w:p>
        </w:tc>
        <w:tc>
          <w:tcPr>
            <w:tcW w:w="1166" w:type="dxa"/>
            <w:vMerge w:val="restart"/>
            <w:vAlign w:val="center"/>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竞</w:t>
            </w:r>
          </w:p>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标</w:t>
            </w:r>
          </w:p>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时</w:t>
            </w:r>
          </w:p>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间</w:t>
            </w:r>
          </w:p>
        </w:tc>
        <w:tc>
          <w:tcPr>
            <w:tcW w:w="1364" w:type="dxa"/>
            <w:vAlign w:val="bottom"/>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领标时间</w:t>
            </w:r>
          </w:p>
        </w:tc>
        <w:tc>
          <w:tcPr>
            <w:tcW w:w="5418" w:type="dxa"/>
            <w:vAlign w:val="bottom"/>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公告之日至202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27</w:t>
            </w:r>
            <w:r>
              <w:rPr>
                <w:rFonts w:hint="eastAsia" w:ascii="方正仿宋_GBK" w:hAnsi="方正仿宋_GBK" w:eastAsia="方正仿宋_GBK" w:cs="方正仿宋_GBK"/>
                <w:color w:val="000000" w:themeColor="text1"/>
                <w:sz w:val="28"/>
                <w:szCs w:val="28"/>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exact"/>
          <w:jc w:val="center"/>
        </w:trPr>
        <w:tc>
          <w:tcPr>
            <w:tcW w:w="813"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66"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64" w:type="dxa"/>
            <w:vAlign w:val="bottom"/>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领标地点</w:t>
            </w:r>
          </w:p>
        </w:tc>
        <w:tc>
          <w:tcPr>
            <w:tcW w:w="5418" w:type="dxa"/>
            <w:vAlign w:val="bottom"/>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u w:val="single"/>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重庆轮船（集团）有限公司网站自行下载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exact"/>
          <w:jc w:val="center"/>
        </w:trPr>
        <w:tc>
          <w:tcPr>
            <w:tcW w:w="813"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66"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64" w:type="dxa"/>
            <w:vAlign w:val="bottom"/>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截标时间</w:t>
            </w:r>
          </w:p>
        </w:tc>
        <w:tc>
          <w:tcPr>
            <w:tcW w:w="5418" w:type="dxa"/>
            <w:vAlign w:val="bottom"/>
          </w:tcPr>
          <w:p>
            <w:pPr>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27</w:t>
            </w:r>
            <w:r>
              <w:rPr>
                <w:rFonts w:hint="eastAsia" w:ascii="方正仿宋_GBK" w:hAnsi="方正仿宋_GBK" w:eastAsia="方正仿宋_GBK" w:cs="方正仿宋_GBK"/>
                <w:color w:val="000000" w:themeColor="text1"/>
                <w:sz w:val="28"/>
                <w:szCs w:val="28"/>
                <w14:textFill>
                  <w14:solidFill>
                    <w14:schemeClr w14:val="tx1"/>
                  </w14:solidFill>
                </w14:textFill>
              </w:rPr>
              <w:t>日 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exact"/>
          <w:jc w:val="center"/>
        </w:trPr>
        <w:tc>
          <w:tcPr>
            <w:tcW w:w="813"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66"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64" w:type="dxa"/>
            <w:vAlign w:val="bottom"/>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开标时间</w:t>
            </w:r>
          </w:p>
        </w:tc>
        <w:tc>
          <w:tcPr>
            <w:tcW w:w="5418" w:type="dxa"/>
            <w:vAlign w:val="bottom"/>
          </w:tcPr>
          <w:p>
            <w:pPr>
              <w:adjustRightInd w:val="0"/>
              <w:snapToGrid w:val="0"/>
              <w:spacing w:line="360" w:lineRule="auto"/>
              <w:ind w:firstLine="1120" w:firstLineChars="400"/>
              <w:jc w:val="both"/>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月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27</w:t>
            </w:r>
            <w:r>
              <w:rPr>
                <w:rFonts w:hint="eastAsia" w:ascii="方正仿宋_GBK" w:hAnsi="方正仿宋_GBK" w:eastAsia="方正仿宋_GBK" w:cs="方正仿宋_GBK"/>
                <w:color w:val="000000" w:themeColor="text1"/>
                <w:sz w:val="28"/>
                <w:szCs w:val="28"/>
                <w14:textFill>
                  <w14:solidFill>
                    <w14:schemeClr w14:val="tx1"/>
                  </w14:solidFill>
                </w14:textFill>
              </w:rPr>
              <w:t>日1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jc w:val="center"/>
        </w:trPr>
        <w:tc>
          <w:tcPr>
            <w:tcW w:w="813"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66"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64" w:type="dxa"/>
            <w:vAlign w:val="bottom"/>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开标地点</w:t>
            </w:r>
          </w:p>
        </w:tc>
        <w:tc>
          <w:tcPr>
            <w:tcW w:w="5418" w:type="dxa"/>
            <w:vAlign w:val="bottom"/>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重庆中江船业有限公司二楼会议室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6" w:hRule="exact"/>
          <w:jc w:val="center"/>
        </w:trPr>
        <w:tc>
          <w:tcPr>
            <w:tcW w:w="813" w:type="dxa"/>
            <w:vAlign w:val="center"/>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w:t>
            </w:r>
          </w:p>
        </w:tc>
        <w:tc>
          <w:tcPr>
            <w:tcW w:w="2530" w:type="dxa"/>
            <w:gridSpan w:val="2"/>
            <w:vAlign w:val="center"/>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竞标人资格要求</w:t>
            </w:r>
          </w:p>
        </w:tc>
        <w:tc>
          <w:tcPr>
            <w:tcW w:w="5418" w:type="dxa"/>
            <w:vAlign w:val="center"/>
          </w:tcPr>
          <w:p>
            <w:pPr>
              <w:tabs>
                <w:tab w:val="left" w:pos="3225"/>
              </w:tabs>
              <w:adjustRightInd w:val="0"/>
              <w:snapToGrid w:val="0"/>
              <w:spacing w:line="26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具有独立承担民事责任的能力；良好的商业信誉和健全的财务会计制度；履行合同所必需的设备和专业技术能力；</w:t>
            </w:r>
          </w:p>
          <w:p>
            <w:pPr>
              <w:tabs>
                <w:tab w:val="left" w:pos="3225"/>
              </w:tabs>
              <w:adjustRightInd w:val="0"/>
              <w:snapToGrid w:val="0"/>
              <w:spacing w:line="26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有依法缴纳税收和社会保障资金的良好记录；</w:t>
            </w:r>
          </w:p>
          <w:p>
            <w:pPr>
              <w:tabs>
                <w:tab w:val="left" w:pos="3225"/>
              </w:tabs>
              <w:adjustRightInd w:val="0"/>
              <w:snapToGrid w:val="0"/>
              <w:spacing w:line="26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近三年内，在经营活动中没有重大违法记录；</w:t>
            </w:r>
          </w:p>
          <w:p>
            <w:pPr>
              <w:tabs>
                <w:tab w:val="left" w:pos="3225"/>
              </w:tabs>
              <w:adjustRightInd w:val="0"/>
              <w:snapToGrid w:val="0"/>
              <w:spacing w:line="260" w:lineRule="exact"/>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企业经营资质必须满足船舶修理或建造、钢结构制作</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p>
            <w:pPr>
              <w:tabs>
                <w:tab w:val="left" w:pos="3225"/>
              </w:tabs>
              <w:adjustRightInd w:val="0"/>
              <w:snapToGrid w:val="0"/>
              <w:spacing w:line="260" w:lineRule="exact"/>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813" w:type="dxa"/>
            <w:vAlign w:val="center"/>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w:t>
            </w:r>
          </w:p>
        </w:tc>
        <w:tc>
          <w:tcPr>
            <w:tcW w:w="2530" w:type="dxa"/>
            <w:gridSpan w:val="2"/>
            <w:vAlign w:val="center"/>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履约保证金</w:t>
            </w:r>
          </w:p>
        </w:tc>
        <w:tc>
          <w:tcPr>
            <w:tcW w:w="5418" w:type="dxa"/>
            <w:vAlign w:val="center"/>
          </w:tcPr>
          <w:p>
            <w:pPr>
              <w:tabs>
                <w:tab w:val="left" w:pos="3225"/>
              </w:tabs>
              <w:adjustRightInd w:val="0"/>
              <w:snapToGrid w:val="0"/>
              <w:spacing w:line="26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按合同总价款的5%收取，在</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第一期工程款中扣除</w:t>
            </w:r>
            <w:r>
              <w:rPr>
                <w:rFonts w:hint="eastAsia" w:ascii="方正仿宋_GBK" w:hAnsi="方正仿宋_GBK" w:eastAsia="方正仿宋_GBK" w:cs="方正仿宋_GBK"/>
                <w:color w:val="000000" w:themeColor="text1"/>
                <w:sz w:val="28"/>
                <w:szCs w:val="28"/>
                <w14:textFill>
                  <w14:solidFill>
                    <w14:schemeClr w14:val="tx1"/>
                  </w14:solidFill>
                </w14:textFill>
              </w:rPr>
              <w:t>，财务部出具收据，此收据作为签订合同的依据之一。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813" w:type="dxa"/>
            <w:vAlign w:val="center"/>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w:t>
            </w:r>
          </w:p>
        </w:tc>
        <w:tc>
          <w:tcPr>
            <w:tcW w:w="2530" w:type="dxa"/>
            <w:gridSpan w:val="2"/>
            <w:vAlign w:val="center"/>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安全风险金</w:t>
            </w:r>
          </w:p>
        </w:tc>
        <w:tc>
          <w:tcPr>
            <w:tcW w:w="5418"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竞标单位承诺购买雇主责任险</w:t>
            </w:r>
            <w:r>
              <w:rPr>
                <w:rFonts w:hint="eastAsia" w:ascii="方正仿宋_GBK" w:hAnsi="方正仿宋_GBK" w:eastAsia="方正仿宋_GBK" w:cs="方正仿宋_GBK"/>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813" w:type="dxa"/>
            <w:vAlign w:val="bottom"/>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w:t>
            </w:r>
          </w:p>
        </w:tc>
        <w:tc>
          <w:tcPr>
            <w:tcW w:w="2530" w:type="dxa"/>
            <w:gridSpan w:val="2"/>
            <w:vAlign w:val="bottom"/>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投标文件份数</w:t>
            </w:r>
          </w:p>
        </w:tc>
        <w:tc>
          <w:tcPr>
            <w:tcW w:w="5418"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13" w:type="dxa"/>
            <w:vAlign w:val="bottom"/>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w:t>
            </w:r>
          </w:p>
        </w:tc>
        <w:tc>
          <w:tcPr>
            <w:tcW w:w="2530" w:type="dxa"/>
            <w:gridSpan w:val="2"/>
            <w:vAlign w:val="bottom"/>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现场考察</w:t>
            </w:r>
          </w:p>
        </w:tc>
        <w:tc>
          <w:tcPr>
            <w:tcW w:w="5418"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自行考察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13" w:type="dxa"/>
            <w:vAlign w:val="center"/>
          </w:tcPr>
          <w:p>
            <w:pPr>
              <w:tabs>
                <w:tab w:val="left" w:pos="3225"/>
              </w:tabs>
              <w:adjustRightInd w:val="0"/>
              <w:snapToGrid w:val="0"/>
              <w:spacing w:line="360" w:lineRule="auto"/>
              <w:ind w:firstLine="280" w:firstLineChars="1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w:t>
            </w:r>
          </w:p>
        </w:tc>
        <w:tc>
          <w:tcPr>
            <w:tcW w:w="2530" w:type="dxa"/>
            <w:gridSpan w:val="2"/>
            <w:vAlign w:val="center"/>
          </w:tcPr>
          <w:p>
            <w:pPr>
              <w:tabs>
                <w:tab w:val="left" w:pos="3225"/>
              </w:tabs>
              <w:adjustRightInd w:val="0"/>
              <w:snapToGrid w:val="0"/>
              <w:spacing w:line="360" w:lineRule="auto"/>
              <w:ind w:firstLine="700" w:firstLineChars="25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提问和澄清</w:t>
            </w:r>
          </w:p>
        </w:tc>
        <w:tc>
          <w:tcPr>
            <w:tcW w:w="5418"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潜在竞标人以书面传真形式进行澄清，传真号023-8569601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813" w:type="dxa"/>
            <w:vAlign w:val="center"/>
          </w:tcPr>
          <w:p>
            <w:pPr>
              <w:tabs>
                <w:tab w:val="left" w:pos="3225"/>
              </w:tabs>
              <w:adjustRightInd w:val="0"/>
              <w:snapToGrid w:val="0"/>
              <w:spacing w:line="360" w:lineRule="auto"/>
              <w:ind w:firstLine="280" w:firstLineChars="1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w:t>
            </w:r>
          </w:p>
        </w:tc>
        <w:tc>
          <w:tcPr>
            <w:tcW w:w="2530" w:type="dxa"/>
            <w:gridSpan w:val="2"/>
            <w:vAlign w:val="center"/>
          </w:tcPr>
          <w:p>
            <w:pPr>
              <w:tabs>
                <w:tab w:val="left" w:pos="3225"/>
              </w:tabs>
              <w:adjustRightInd w:val="0"/>
              <w:snapToGrid w:val="0"/>
              <w:spacing w:line="360" w:lineRule="auto"/>
              <w:ind w:firstLine="700" w:firstLineChars="25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答疑和补遗</w:t>
            </w:r>
          </w:p>
        </w:tc>
        <w:tc>
          <w:tcPr>
            <w:tcW w:w="5418"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统一在重庆轮船（集团）有限公司网站上发布公告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13" w:type="dxa"/>
            <w:vMerge w:val="restart"/>
            <w:vAlign w:val="center"/>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w:t>
            </w:r>
          </w:p>
        </w:tc>
        <w:tc>
          <w:tcPr>
            <w:tcW w:w="1166" w:type="dxa"/>
            <w:vMerge w:val="restart"/>
            <w:vAlign w:val="center"/>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竞</w:t>
            </w:r>
          </w:p>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标</w:t>
            </w:r>
          </w:p>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文</w:t>
            </w:r>
          </w:p>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件</w:t>
            </w:r>
          </w:p>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递</w:t>
            </w:r>
          </w:p>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交</w:t>
            </w:r>
          </w:p>
        </w:tc>
        <w:tc>
          <w:tcPr>
            <w:tcW w:w="1364"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比选人</w:t>
            </w:r>
          </w:p>
        </w:tc>
        <w:tc>
          <w:tcPr>
            <w:tcW w:w="5418"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重庆中江船业有限公司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13"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66"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64"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  址</w:t>
            </w:r>
          </w:p>
        </w:tc>
        <w:tc>
          <w:tcPr>
            <w:tcW w:w="5418"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涪陵区珍溪镇中江路1号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813"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66"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64"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递交时间</w:t>
            </w:r>
          </w:p>
        </w:tc>
        <w:tc>
          <w:tcPr>
            <w:tcW w:w="5418"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27</w:t>
            </w:r>
            <w:r>
              <w:rPr>
                <w:rFonts w:hint="eastAsia" w:ascii="方正仿宋_GBK" w:hAnsi="方正仿宋_GBK" w:eastAsia="方正仿宋_GBK" w:cs="方正仿宋_GBK"/>
                <w:color w:val="000000" w:themeColor="text1"/>
                <w:sz w:val="28"/>
                <w:szCs w:val="28"/>
                <w14:textFill>
                  <w14:solidFill>
                    <w14:schemeClr w14:val="tx1"/>
                  </w14:solidFill>
                </w14:textFill>
              </w:rPr>
              <w:t>日 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28"/>
                <w:szCs w:val="28"/>
                <w14:textFill>
                  <w14:solidFill>
                    <w14:schemeClr w14:val="tx1"/>
                  </w14:solidFill>
                </w14:textFill>
              </w:rPr>
              <w:t>时之前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813"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66"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64"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w:t>
            </w:r>
          </w:p>
        </w:tc>
        <w:tc>
          <w:tcPr>
            <w:tcW w:w="5418"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张云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813"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66"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64"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  话</w:t>
            </w:r>
          </w:p>
        </w:tc>
        <w:tc>
          <w:tcPr>
            <w:tcW w:w="5418"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023-8569601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813"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66"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64"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E-mail</w:t>
            </w:r>
          </w:p>
        </w:tc>
        <w:tc>
          <w:tcPr>
            <w:tcW w:w="5418"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13"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66"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64"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邮政编码</w:t>
            </w:r>
          </w:p>
        </w:tc>
        <w:tc>
          <w:tcPr>
            <w:tcW w:w="5418"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jc w:val="center"/>
        </w:trPr>
        <w:tc>
          <w:tcPr>
            <w:tcW w:w="813" w:type="dxa"/>
            <w:vAlign w:val="center"/>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w:t>
            </w:r>
          </w:p>
        </w:tc>
        <w:tc>
          <w:tcPr>
            <w:tcW w:w="2530" w:type="dxa"/>
            <w:gridSpan w:val="2"/>
            <w:vAlign w:val="center"/>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比选方案</w:t>
            </w:r>
          </w:p>
        </w:tc>
        <w:tc>
          <w:tcPr>
            <w:tcW w:w="5418"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exact"/>
          <w:jc w:val="center"/>
        </w:trPr>
        <w:tc>
          <w:tcPr>
            <w:tcW w:w="813" w:type="dxa"/>
            <w:vAlign w:val="center"/>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w:t>
            </w:r>
          </w:p>
        </w:tc>
        <w:tc>
          <w:tcPr>
            <w:tcW w:w="2530" w:type="dxa"/>
            <w:gridSpan w:val="2"/>
            <w:vAlign w:val="center"/>
          </w:tcPr>
          <w:p>
            <w:pPr>
              <w:tabs>
                <w:tab w:val="left" w:pos="3225"/>
              </w:tabs>
              <w:adjustRightInd w:val="0"/>
              <w:snapToGrid w:val="0"/>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其它</w:t>
            </w:r>
          </w:p>
        </w:tc>
        <w:tc>
          <w:tcPr>
            <w:tcW w:w="5418" w:type="dxa"/>
            <w:vAlign w:val="center"/>
          </w:tcPr>
          <w:p>
            <w:pPr>
              <w:tabs>
                <w:tab w:val="left" w:pos="3225"/>
              </w:tabs>
              <w:adjustRightInd w:val="0"/>
              <w:snapToGrid w:val="0"/>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bl>
    <w:p>
      <w:pPr>
        <w:widowControl/>
        <w:ind w:firstLine="4216" w:firstLineChars="1500"/>
        <w:jc w:val="left"/>
        <w:rPr>
          <w:rFonts w:hint="eastAsia" w:ascii="方正仿宋_GBK" w:hAnsi="方正仿宋_GBK" w:eastAsia="方正仿宋_GBK" w:cs="方正仿宋_GBK"/>
          <w:b/>
          <w:color w:val="000000" w:themeColor="text1"/>
          <w:sz w:val="28"/>
          <w:szCs w:val="28"/>
          <w14:textFill>
            <w14:solidFill>
              <w14:schemeClr w14:val="tx1"/>
            </w14:solidFill>
          </w14:textFill>
        </w:rPr>
      </w:pPr>
    </w:p>
    <w:p>
      <w:pPr>
        <w:widowControl/>
        <w:ind w:firstLine="4216" w:firstLineChars="1500"/>
        <w:jc w:val="left"/>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竞标单位须知</w:t>
      </w:r>
    </w:p>
    <w:p>
      <w:pPr>
        <w:spacing w:line="360" w:lineRule="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一、总则</w:t>
      </w:r>
    </w:p>
    <w:p>
      <w:pPr>
        <w:spacing w:line="360" w:lineRule="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1、工程说明</w:t>
      </w:r>
    </w:p>
    <w:p>
      <w:pPr>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  工程的说明见竞标须知前附表（以下简称“前附表”）。</w:t>
      </w:r>
    </w:p>
    <w:p>
      <w:pPr>
        <w:spacing w:line="360" w:lineRule="auto"/>
        <w:ind w:firstLine="560" w:firstLineChars="20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  关于工程的详细说明见本比选文件</w:t>
      </w:r>
      <w:r>
        <w:rPr>
          <w:rFonts w:hint="eastAsia" w:ascii="方正仿宋_GBK" w:hAnsi="方正仿宋_GBK" w:eastAsia="方正仿宋_GBK" w:cs="方正仿宋_GBK"/>
          <w:bCs/>
          <w:color w:val="000000" w:themeColor="text1"/>
          <w:sz w:val="28"/>
          <w:szCs w:val="28"/>
          <w14:textFill>
            <w14:solidFill>
              <w14:schemeClr w14:val="tx1"/>
            </w14:solidFill>
          </w14:textFill>
        </w:rPr>
        <w:t>及施工图纸 （</w:t>
      </w:r>
      <w:r>
        <w:rPr>
          <w:rFonts w:hint="eastAsia" w:ascii="方正仿宋_GBK" w:hAnsi="方正仿宋_GBK" w:eastAsia="方正仿宋_GBK" w:cs="方正仿宋_GBK"/>
          <w:color w:val="000000" w:themeColor="text1"/>
          <w:sz w:val="28"/>
          <w:szCs w:val="28"/>
          <w14:textFill>
            <w14:solidFill>
              <w14:schemeClr w14:val="tx1"/>
            </w14:solidFill>
          </w14:textFill>
        </w:rPr>
        <w:t>图号：</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CQLR4172A</w:t>
      </w:r>
      <w:r>
        <w:rPr>
          <w:rFonts w:hint="eastAsia" w:ascii="方正仿宋_GBK" w:hAnsi="方正仿宋_GBK" w:eastAsia="方正仿宋_GBK" w:cs="方正仿宋_GBK"/>
          <w:bCs/>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bCs/>
          <w:color w:val="000000" w:themeColor="text1"/>
          <w:sz w:val="28"/>
          <w:szCs w:val="28"/>
          <w14:textFill>
            <w14:solidFill>
              <w14:schemeClr w14:val="tx1"/>
            </w14:solidFill>
          </w14:textFill>
        </w:rPr>
        <w:t>。</w:t>
      </w:r>
    </w:p>
    <w:p>
      <w:pPr>
        <w:spacing w:line="360" w:lineRule="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2、竞标费用</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竞标单位应承担其编制竞标文件与递交竞标文件所涉及的一切费用，比选人对上述费用不承担任何责任。</w:t>
      </w:r>
    </w:p>
    <w:p>
      <w:pPr>
        <w:spacing w:line="360" w:lineRule="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二、竞标文件</w:t>
      </w:r>
    </w:p>
    <w:p>
      <w:pPr>
        <w:spacing w:line="360" w:lineRule="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1、竞标文件组成</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  竞标文件包括下列文件及所有按本须知第3条发出的补充资料等。</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第一章  比选公告</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第二章  竞标须知</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第三章  工程内容及界面</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第四章  合同格式</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第五章  比选参选书</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第六章  辅助资料表</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第七章  比选评标办法</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1.2  竞标单位应认真阅读竞标文件。如果竞标单位编制的竞标文件在实质上不响应比选文件要求，其竞标文件将被比选人拒绝。</w:t>
      </w:r>
    </w:p>
    <w:p>
      <w:pPr>
        <w:spacing w:line="360" w:lineRule="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2、竞标文件的解释</w:t>
      </w:r>
    </w:p>
    <w:p>
      <w:pPr>
        <w:spacing w:line="360" w:lineRule="auto"/>
        <w:ind w:firstLine="784" w:firstLineChars="28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竞标单位在收到比选文件后，若有问题需要澄清，应于202</w: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bCs/>
          <w:color w:val="000000" w:themeColor="text1"/>
          <w:sz w:val="28"/>
          <w:szCs w:val="28"/>
          <w14:textFill>
            <w14:solidFill>
              <w14:schemeClr w14:val="tx1"/>
            </w14:solidFill>
          </w14:textFill>
        </w:rPr>
        <w:t>年</w: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bCs/>
          <w:color w:val="000000" w:themeColor="text1"/>
          <w:sz w:val="28"/>
          <w:szCs w:val="28"/>
          <w14:textFill>
            <w14:solidFill>
              <w14:schemeClr w14:val="tx1"/>
            </w14:solidFill>
          </w14:textFill>
        </w:rPr>
        <w:t>月</w: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t>27</w:t>
      </w:r>
      <w:r>
        <w:rPr>
          <w:rFonts w:hint="eastAsia" w:ascii="方正仿宋_GBK" w:hAnsi="方正仿宋_GBK" w:eastAsia="方正仿宋_GBK" w:cs="方正仿宋_GBK"/>
          <w:bCs/>
          <w:color w:val="000000" w:themeColor="text1"/>
          <w:sz w:val="28"/>
          <w:szCs w:val="28"/>
          <w14:textFill>
            <w14:solidFill>
              <w14:schemeClr w14:val="tx1"/>
            </w14:solidFill>
          </w14:textFill>
        </w:rPr>
        <w:t>日前，以书面形式通过传真方式（023-85696002）向比选人提出，比选人将统一在重庆轮船（集团）有限公司网站上发布答疑澄清公告，由竞标单位自行下载，不管竞标单位是否下载，均视同知悉答疑澄清内容。</w:t>
      </w:r>
    </w:p>
    <w:p>
      <w:pPr>
        <w:spacing w:line="360" w:lineRule="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3、竞标文件的修改</w:t>
      </w:r>
    </w:p>
    <w:p>
      <w:pPr>
        <w:spacing w:line="360" w:lineRule="auto"/>
        <w:ind w:firstLine="560" w:firstLineChars="20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3.1  在竞标截止日期前，比选人有权利以补遗的方式修改比选文件。</w:t>
      </w:r>
    </w:p>
    <w:p>
      <w:pPr>
        <w:spacing w:line="360" w:lineRule="auto"/>
        <w:ind w:firstLine="560" w:firstLineChars="20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3.2  补遗通知统一在重庆轮船（集团）有限公司网站上发布补遗公告，由竞标单位自行下载，不管竞标单位是否下载，均视同知悉补遗内容。补遗通知作为比选文件的组成部分，对竞标单位起约束作用。</w:t>
      </w:r>
    </w:p>
    <w:p>
      <w:pPr>
        <w:spacing w:line="360" w:lineRule="auto"/>
        <w:ind w:firstLine="560" w:firstLineChars="20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3.3  为使竞标单位在编制竞标文件时把补遗通知内容考虑进去，比选人有权酌情延长递交投标文件及开标日期。</w:t>
      </w:r>
    </w:p>
    <w:p>
      <w:pPr>
        <w:numPr>
          <w:ilvl w:val="0"/>
          <w:numId w:val="2"/>
        </w:numPr>
        <w:spacing w:line="360" w:lineRule="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竞标报价说明</w:t>
      </w:r>
    </w:p>
    <w:p>
      <w:pPr>
        <w:spacing w:line="46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w:t>
      </w:r>
      <w:r>
        <w:rPr>
          <w:rFonts w:hint="eastAsia" w:ascii="方正仿宋_GBK" w:hAnsi="方正仿宋_GBK" w:eastAsia="方正仿宋_GBK" w:cs="方正仿宋_GBK"/>
          <w:color w:val="000000" w:themeColor="text1"/>
          <w:sz w:val="28"/>
          <w:szCs w:val="28"/>
          <w14:textFill>
            <w14:solidFill>
              <w14:schemeClr w14:val="tx1"/>
            </w14:solidFill>
          </w14:textFill>
        </w:rPr>
        <w:t>本项目比选人可根据生产情况单艘至少</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2家</w:t>
      </w:r>
      <w:r>
        <w:rPr>
          <w:rFonts w:hint="eastAsia" w:ascii="方正仿宋_GBK" w:hAnsi="方正仿宋_GBK" w:eastAsia="方正仿宋_GBK" w:cs="方正仿宋_GBK"/>
          <w:color w:val="000000" w:themeColor="text1"/>
          <w:sz w:val="28"/>
          <w:szCs w:val="28"/>
          <w14:textFill>
            <w14:solidFill>
              <w14:schemeClr w14:val="tx1"/>
            </w14:solidFill>
          </w14:textFill>
        </w:rPr>
        <w:t>船体施工单位进行施工，竞标单位按照单艘船进行报价，本报价含3%增值税。</w:t>
      </w:r>
    </w:p>
    <w:p>
      <w:pPr>
        <w:spacing w:line="460" w:lineRule="exact"/>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themeColor="text1"/>
          <w:sz w:val="28"/>
          <w:szCs w:val="28"/>
          <w14:textFill>
            <w14:solidFill>
              <w14:schemeClr w14:val="tx1"/>
            </w14:solidFill>
          </w14:textFill>
        </w:rPr>
        <w:t>船体建造招标限价：</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210</w:t>
      </w:r>
      <w:r>
        <w:rPr>
          <w:rFonts w:hint="eastAsia" w:ascii="方正仿宋_GBK" w:hAnsi="方正仿宋_GBK" w:eastAsia="方正仿宋_GBK" w:cs="方正仿宋_GBK"/>
          <w:color w:val="000000" w:themeColor="text1"/>
          <w:sz w:val="28"/>
          <w:szCs w:val="28"/>
          <w14:textFill>
            <w14:solidFill>
              <w14:schemeClr w14:val="tx1"/>
            </w14:solidFill>
          </w14:textFill>
        </w:rPr>
        <w:t>万</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/艘</w:t>
      </w:r>
      <w:r>
        <w:rPr>
          <w:rFonts w:hint="eastAsia" w:ascii="方正仿宋_GBK" w:hAnsi="方正仿宋_GBK" w:eastAsia="方正仿宋_GBK" w:cs="方正仿宋_GBK"/>
          <w:color w:val="000000"/>
          <w:sz w:val="28"/>
          <w:szCs w:val="28"/>
        </w:rPr>
        <w:t>（含税3%）</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p>
      <w:pPr>
        <w:pStyle w:val="11"/>
        <w:spacing w:line="480" w:lineRule="exact"/>
        <w:ind w:firstLine="0" w:firstLineChars="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1.2.1、工程界面。</w:t>
      </w:r>
    </w:p>
    <w:p>
      <w:pPr>
        <w:spacing w:line="460" w:lineRule="exact"/>
        <w:ind w:left="105" w:leftChars="50"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船体工程界面：</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w:t>
      </w:r>
      <w:r>
        <w:rPr>
          <w:rFonts w:hint="eastAsia" w:ascii="方正仿宋_GBK" w:hAnsi="方正仿宋_GBK" w:eastAsia="方正仿宋_GBK" w:cs="方正仿宋_GBK"/>
          <w:sz w:val="28"/>
          <w:szCs w:val="28"/>
        </w:rPr>
        <w:t>分段的全部钢结构放样、划线、下料、组合、装配、焊接、校正、打磨全过程施工及划地样线、摆墩、搭建样台、雨（阳）棚、脚手架、下排换墩等辅助工作并提交检验合格。</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（2）分段的护舷材安装，各舱室人孔盖安装及主机座、发电机座的安装焊接。</w:t>
      </w:r>
    </w:p>
    <w:p>
      <w:pPr>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（3）全船门、窗船体开口校平，</w:t>
      </w:r>
      <w:r>
        <w:rPr>
          <w:rFonts w:hint="eastAsia" w:ascii="方正仿宋_GBK" w:hAnsi="方正仿宋_GBK" w:eastAsia="方正仿宋_GBK" w:cs="方正仿宋_GBK"/>
          <w:kern w:val="0"/>
          <w:sz w:val="28"/>
          <w:szCs w:val="28"/>
        </w:rPr>
        <w:t>全船舱内外所有构件板材上的焊疤打磨与母材平整，全船舱内舱外所有构件焊缝（包括构件的自由边）、外板、围壁板、甲板的焊缝打磨光顺。</w:t>
      </w:r>
    </w:p>
    <w:p>
      <w:pPr>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（4）合拢缝焊接及打磨。</w:t>
      </w:r>
    </w:p>
    <w:p>
      <w:pPr>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（5）舾装件安装（含主辅机座、艉绞机座、锚机座、带缆桩预制及安装、锚链筒及锚穴安装、 艏艉桅杆预制及定位、舱室及上层直梯及斜梯预制及安装焊接、靠把底座的预制安装及焊接，靠把捆扎、 舱室花钢板铺设（包括机舱、辅机舱、</w:t>
      </w:r>
      <w:r>
        <w:rPr>
          <w:rFonts w:hint="eastAsia" w:ascii="方正仿宋_GBK" w:hAnsi="方正仿宋_GBK" w:eastAsia="方正仿宋_GBK" w:cs="方正仿宋_GBK"/>
          <w:kern w:val="0"/>
          <w:sz w:val="28"/>
          <w:szCs w:val="28"/>
          <w:lang w:eastAsia="zh-CN"/>
        </w:rPr>
        <w:t>艏泵舱</w:t>
      </w:r>
      <w:r>
        <w:rPr>
          <w:rFonts w:hint="eastAsia" w:ascii="方正仿宋_GBK" w:hAnsi="方正仿宋_GBK" w:eastAsia="方正仿宋_GBK" w:cs="方正仿宋_GBK"/>
          <w:kern w:val="0"/>
          <w:sz w:val="28"/>
          <w:szCs w:val="28"/>
        </w:rPr>
        <w:t>等）、钢质门、焊接防火门、集控室隔音门窗的安装、导缆孔及舷窗安装；消防砂箱，灭火机座、救生圈架、钢质消防水龙带箱等的制作及定位安装；全船除装饰外的栏杆制作安装）</w:t>
      </w:r>
    </w:p>
    <w:p>
      <w:pPr>
        <w:jc w:val="left"/>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（6）舵机、锚机、艉绞腹板焊接；</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）舱室密性及水压试验,船体探伤拍片。</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）配合油漆涂装、隔热搭跳架等。</w:t>
      </w:r>
    </w:p>
    <w:p>
      <w:pPr>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）船体施工中的需要的工艺孔开设及还原。</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）油漆涂装密闭舱室需要的工艺孔开设及还原。</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生活</w:t>
      </w:r>
      <w:r>
        <w:rPr>
          <w:rFonts w:hint="eastAsia" w:ascii="方正仿宋_GBK" w:hAnsi="方正仿宋_GBK" w:eastAsia="方正仿宋_GBK" w:cs="方正仿宋_GBK"/>
          <w:sz w:val="28"/>
          <w:szCs w:val="28"/>
        </w:rPr>
        <w:t>艇底座结构加强安装焊接。</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pStyle w:val="11"/>
        <w:spacing w:line="480" w:lineRule="exact"/>
        <w:ind w:firstLine="0" w:firstLineChars="0"/>
        <w:jc w:val="lef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1.2.2、竞标一览报价表。</w:t>
      </w:r>
      <w:bookmarkStart w:id="3" w:name="OLE_LINK19"/>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tbl>
      <w:tblPr>
        <w:tblStyle w:val="16"/>
        <w:tblW w:w="8379" w:type="dxa"/>
        <w:tblInd w:w="0" w:type="dxa"/>
        <w:tblLayout w:type="fixed"/>
        <w:tblCellMar>
          <w:top w:w="15" w:type="dxa"/>
          <w:left w:w="15" w:type="dxa"/>
          <w:bottom w:w="15" w:type="dxa"/>
          <w:right w:w="15" w:type="dxa"/>
        </w:tblCellMar>
      </w:tblPr>
      <w:tblGrid>
        <w:gridCol w:w="240"/>
        <w:gridCol w:w="1560"/>
        <w:gridCol w:w="342"/>
        <w:gridCol w:w="3260"/>
        <w:gridCol w:w="2977"/>
      </w:tblGrid>
      <w:tr>
        <w:tblPrEx>
          <w:tblLayout w:type="fixed"/>
          <w:tblCellMar>
            <w:top w:w="15" w:type="dxa"/>
            <w:left w:w="15" w:type="dxa"/>
            <w:bottom w:w="15" w:type="dxa"/>
            <w:right w:w="15" w:type="dxa"/>
          </w:tblCellMar>
        </w:tblPrEx>
        <w:trPr>
          <w:gridAfter w:val="4"/>
          <w:wAfter w:w="8139" w:type="dxa"/>
          <w:trHeight w:val="285" w:hRule="atLeast"/>
        </w:trPr>
        <w:tc>
          <w:tcPr>
            <w:tcW w:w="240" w:type="dxa"/>
            <w:shd w:val="clear" w:color="auto" w:fill="auto"/>
            <w:vAlign w:val="center"/>
          </w:tcPr>
          <w:p>
            <w:pPr>
              <w:widowControl/>
              <w:jc w:val="center"/>
              <w:textAlignment w:val="cente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pPr>
          </w:p>
        </w:tc>
      </w:tr>
      <w:tr>
        <w:tblPrEx>
          <w:tblLayout w:type="fixed"/>
          <w:tblCellMar>
            <w:top w:w="15" w:type="dxa"/>
            <w:left w:w="15" w:type="dxa"/>
            <w:bottom w:w="15" w:type="dxa"/>
            <w:right w:w="15" w:type="dxa"/>
          </w:tblCellMar>
        </w:tblPrEx>
        <w:trPr>
          <w:gridAfter w:val="4"/>
          <w:wAfter w:w="8139" w:type="dxa"/>
          <w:trHeight w:val="339" w:hRule="atLeast"/>
        </w:trPr>
        <w:tc>
          <w:tcPr>
            <w:tcW w:w="240" w:type="dxa"/>
            <w:shd w:val="clear" w:color="auto" w:fill="auto"/>
            <w:vAlign w:val="center"/>
          </w:tcPr>
          <w:p>
            <w:pPr>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Layout w:type="fixed"/>
          <w:tblCellMar>
            <w:top w:w="15" w:type="dxa"/>
            <w:left w:w="15" w:type="dxa"/>
            <w:bottom w:w="15" w:type="dxa"/>
            <w:right w:w="15" w:type="dxa"/>
          </w:tblCellMar>
        </w:tblPrEx>
        <w:trPr>
          <w:gridAfter w:val="3"/>
          <w:wAfter w:w="6579" w:type="dxa"/>
          <w:trHeight w:val="294" w:hRule="atLeast"/>
        </w:trPr>
        <w:tc>
          <w:tcPr>
            <w:tcW w:w="1800" w:type="dxa"/>
            <w:gridSpan w:val="2"/>
            <w:shd w:val="clear" w:color="auto" w:fill="auto"/>
            <w:vAlign w:val="center"/>
          </w:tcPr>
          <w:p>
            <w:pP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tc>
      </w:tr>
      <w:tr>
        <w:tblPrEx>
          <w:tblLayout w:type="fixed"/>
          <w:tblCellMar>
            <w:top w:w="15" w:type="dxa"/>
            <w:left w:w="15" w:type="dxa"/>
            <w:bottom w:w="15" w:type="dxa"/>
            <w:right w:w="15" w:type="dxa"/>
          </w:tblCellMar>
        </w:tblPrEx>
        <w:trPr>
          <w:trHeight w:val="285" w:hRule="atLeast"/>
        </w:trPr>
        <w:tc>
          <w:tcPr>
            <w:tcW w:w="2142"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项目</w:t>
            </w:r>
          </w:p>
        </w:tc>
        <w:tc>
          <w:tcPr>
            <w:tcW w:w="6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80" w:firstLineChars="100"/>
              <w:jc w:val="left"/>
              <w:textAlignment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130mLNG单燃料集散货船</w:t>
            </w:r>
          </w:p>
        </w:tc>
      </w:tr>
      <w:tr>
        <w:tblPrEx>
          <w:tblLayout w:type="fixed"/>
          <w:tblCellMar>
            <w:top w:w="15" w:type="dxa"/>
            <w:left w:w="15" w:type="dxa"/>
            <w:bottom w:w="15" w:type="dxa"/>
            <w:right w:w="15" w:type="dxa"/>
          </w:tblCellMar>
        </w:tblPrEx>
        <w:trPr>
          <w:trHeight w:val="285" w:hRule="atLeast"/>
        </w:trPr>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t xml:space="preserve">    单艘</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150"/>
              <w:jc w:val="left"/>
              <w:textAlignment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t>金额（元）</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备    注</w:t>
            </w:r>
          </w:p>
        </w:tc>
      </w:tr>
      <w:tr>
        <w:tblPrEx>
          <w:tblLayout w:type="fixed"/>
          <w:tblCellMar>
            <w:top w:w="15" w:type="dxa"/>
            <w:left w:w="15" w:type="dxa"/>
            <w:bottom w:w="15" w:type="dxa"/>
            <w:right w:w="15" w:type="dxa"/>
          </w:tblCellMar>
        </w:tblPrEx>
        <w:trPr>
          <w:trHeight w:val="542" w:hRule="atLeast"/>
        </w:trPr>
        <w:tc>
          <w:tcPr>
            <w:tcW w:w="21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bidi="ar"/>
                <w14:textFill>
                  <w14:solidFill>
                    <w14:schemeClr w14:val="tx1"/>
                  </w14:solidFill>
                </w14:textFill>
              </w:rPr>
              <w:t xml:space="preserve"> </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tc>
        <w:tc>
          <w:tcPr>
            <w:tcW w:w="29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含税3%</w:t>
            </w:r>
          </w:p>
        </w:tc>
      </w:tr>
    </w:tbl>
    <w:p>
      <w:pPr>
        <w:pStyle w:val="11"/>
        <w:spacing w:line="480" w:lineRule="exact"/>
        <w:ind w:firstLine="0" w:firstLineChars="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11"/>
        <w:spacing w:line="48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竞标人                                   法定代表人授权代表：</w:t>
      </w:r>
    </w:p>
    <w:p>
      <w:pP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（投标人公章）                            （签字或盖章）</w:t>
      </w:r>
    </w:p>
    <w:bookmarkEnd w:id="3"/>
    <w:p>
      <w:pPr>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11"/>
        <w:spacing w:line="480" w:lineRule="exact"/>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4" w:name="OLE_LINK63"/>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说明：</w:t>
      </w:r>
    </w:p>
    <w:p>
      <w:pPr>
        <w:pStyle w:val="11"/>
        <w:spacing w:line="48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1.竞标一览表按格式填写；并标明增值税专用税率，2.竞标一览表务必填写清楚，准确无误；</w:t>
      </w:r>
    </w:p>
    <w:bookmarkEnd w:id="4"/>
    <w:p>
      <w:pPr>
        <w:rPr>
          <w:rFonts w:hint="eastAsia" w:ascii="方正仿宋_GBK" w:hAnsi="方正仿宋_GBK" w:eastAsia="方正仿宋_GBK" w:cs="方正仿宋_GBK"/>
          <w:color w:val="000000" w:themeColor="text1"/>
          <w:sz w:val="28"/>
          <w:szCs w:val="28"/>
          <w14:textFill>
            <w14:solidFill>
              <w14:schemeClr w14:val="tx1"/>
            </w14:solidFill>
          </w14:textFill>
        </w:rPr>
      </w:pPr>
    </w:p>
    <w:p>
      <w:pPr>
        <w:spacing w:line="360" w:lineRule="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四、竞标文件的编制</w:t>
      </w:r>
    </w:p>
    <w:p>
      <w:pPr>
        <w:spacing w:line="360" w:lineRule="auto"/>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1.1、竞标文件的语言</w:t>
      </w:r>
    </w:p>
    <w:p>
      <w:pPr>
        <w:spacing w:line="360" w:lineRule="auto"/>
        <w:ind w:firstLine="555"/>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比选文件及竞标单位与比选人之间与竞标有关的往来通知、函件和文件均应使用中文。</w:t>
      </w:r>
    </w:p>
    <w:p>
      <w:pPr>
        <w:spacing w:line="360" w:lineRule="auto"/>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1.2、竞标文件的组成</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1.2.1  竞标单位的竞标文件应包括以下内容</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比选参选书</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法定代表人资格证明书</w:t>
      </w:r>
    </w:p>
    <w:p>
      <w:pPr>
        <w:spacing w:line="360" w:lineRule="auto"/>
        <w:ind w:firstLine="570"/>
        <w:outlineLvl w:val="1"/>
        <w:rPr>
          <w:rFonts w:hint="eastAsia" w:ascii="方正仿宋_GBK" w:hAnsi="方正仿宋_GBK" w:eastAsia="方正仿宋_GBK" w:cs="方正仿宋_GBK"/>
          <w:bCs/>
          <w:strike/>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授权委托书</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辅助资料表</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按本须知规定需提交的其他资料（响应）</w:t>
      </w:r>
    </w:p>
    <w:p>
      <w:pPr>
        <w:spacing w:line="360" w:lineRule="auto"/>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1.3、竞标有效期</w:t>
      </w:r>
    </w:p>
    <w:p>
      <w:pPr>
        <w:spacing w:line="360" w:lineRule="auto"/>
        <w:ind w:firstLine="560" w:firstLineChars="20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1.3.1 竞标文件在竞标截止日期之后的60天内有效。</w:t>
      </w:r>
    </w:p>
    <w:p>
      <w:pPr>
        <w:spacing w:line="360" w:lineRule="auto"/>
        <w:ind w:firstLine="560" w:firstLineChars="200"/>
        <w:outlineLvl w:val="1"/>
        <w:rPr>
          <w:rFonts w:hint="eastAsia" w:ascii="方正仿宋_GBK" w:hAnsi="方正仿宋_GBK" w:eastAsia="方正仿宋_GBK" w:cs="方正仿宋_GBK"/>
          <w:bCs/>
          <w:strike/>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1.3.2 在原定竞标有效期满之前，如出现特殊情况，经比选人上级主管部门核准，比选人可以书面形式向竞标单位提出延长竞标有效期的要求。竞标单位需以书面形式予以答复。</w:t>
      </w:r>
    </w:p>
    <w:p>
      <w:pPr>
        <w:spacing w:line="360" w:lineRule="auto"/>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1.4、勘查现场</w:t>
      </w:r>
    </w:p>
    <w:p>
      <w:pPr>
        <w:spacing w:line="360" w:lineRule="auto"/>
        <w:ind w:firstLine="560" w:firstLineChars="20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1.4.1 比选人不统一组织现场勘察。竞标单位应认真阅读施工图纸，并根据自身需要决定是否自行勘查现场，所发生的一切费用由竞标单位承担。</w:t>
      </w:r>
    </w:p>
    <w:p>
      <w:pPr>
        <w:spacing w:line="360" w:lineRule="auto"/>
        <w:ind w:firstLine="560" w:firstLineChars="20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1.4.2  比选人向竞标单位提供的施工图纸，是比选人现有的能使竞标单位利用的资料。比选人对竞标单位由此而做出的推论、理解和结论概不负责。</w:t>
      </w:r>
    </w:p>
    <w:p>
      <w:pPr>
        <w:spacing w:line="360" w:lineRule="auto"/>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1.5、竞标文件的份数和签署</w:t>
      </w:r>
    </w:p>
    <w:p>
      <w:pPr>
        <w:spacing w:line="360" w:lineRule="auto"/>
        <w:ind w:firstLine="560" w:firstLineChars="20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1.5.1  竞标单位按本须知第6条的规定，编制一份竞标文件“正本”和一份“副本”，并明确标明“竞标文件正本”和“竞标文件副本”。竞标文件正本和副本如有不一致之处，以正本为准。竞标文件采用A4纸张装订。</w:t>
      </w:r>
    </w:p>
    <w:p>
      <w:pPr>
        <w:spacing w:line="360" w:lineRule="auto"/>
        <w:ind w:firstLine="560" w:firstLineChars="20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1.5.2  竞标文件正本应使用不能擦去的墨水打印或书写，编制连续页码，并由填表单位的法定代表人或授权委托人亲自签署并加盖法人单位公章和法定代表人或授权委托人印鉴。竞标文件副本为正本的复印件。</w:t>
      </w:r>
    </w:p>
    <w:p>
      <w:pPr>
        <w:spacing w:line="360" w:lineRule="auto"/>
        <w:ind w:firstLine="560" w:firstLineChars="20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1.5.3  全套竞标文件应无涂改和行间插字，除非这些删改是根据比选人的要求进行的，或是竞标单位造成的必须修改的错误。但修改处应由竞标文件签字人签字证明并加盖印鉴。</w:t>
      </w:r>
    </w:p>
    <w:p>
      <w:pPr>
        <w:spacing w:line="360" w:lineRule="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五、竞标文件的递交</w:t>
      </w:r>
    </w:p>
    <w:p>
      <w:pPr>
        <w:spacing w:line="360" w:lineRule="auto"/>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1.1、竞标文件的密封与标志</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1.1.1  竞标单位应将竞标文件的正本和副本分别密封在内层包封内，再密封在一个外层包封内，并在内层包封上标明“竞标文件正本”或“竞标文件副本”。</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1.1.2 内层和外层包封都应写明竞标人名称和地址、工程名称及合同段、招标编号，并注明开标时间之前不得开封。在内层包封还应写明竞标单位的名称和地址邮政编码，以便竞标出现逾期送达时能原封退回。</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1.1.3  如果内、外包封没有按上述规定密封并加写标志，比选人将不承担竞标文件错放或提前开封的责任，由此造成的提前开封的竞标文件将予以拒绝，并退还给竞标单位。</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1.1.4  竞标文件递交至前附表诉述的单位和地址。</w:t>
      </w:r>
    </w:p>
    <w:p>
      <w:pPr>
        <w:spacing w:line="360" w:lineRule="auto"/>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1.2、竞标截止期</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1.2.1  竞标单位应按前附表规定的日期和时间之前将竞标文件递交给比选人。</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1.2.2 比选人可以按本须知第1.3.2条规定以补遗通知的方式，酌情延长递交竞标文件的截止日期。在上述情况下，比选人与竞标单位以前在竞标截止期方面的全部权利、责任和义务，将适用于延长后新的竞标截止期。</w:t>
      </w:r>
    </w:p>
    <w:p>
      <w:pPr>
        <w:spacing w:line="360" w:lineRule="auto"/>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1.3、竞标文件的修改与撤回</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1.3.1  竞标单位可以在递交竞标文件后，在规定的竞标截止日期之前，以书面形式向比选人递交修改或撤回其竞标文件的申请。在竞标文件截止时间以后，不能更改竞标文件。</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1.3.2 竞标文件的修改或撤回申请，应按本须知第1.1.1条规定编制、密封、标志和递交（在内层包封上标明“修改”或“撤回”字样）。</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1.3.3  在竞标截止日期与竞标文件规定的有效期终止日之间的这段时间内，竞标单位不能撤回竞标文件。</w:t>
      </w:r>
    </w:p>
    <w:p>
      <w:pPr>
        <w:spacing w:line="360" w:lineRule="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六、开标</w:t>
      </w:r>
    </w:p>
    <w:p>
      <w:pPr>
        <w:spacing w:line="360" w:lineRule="auto"/>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1.1、开标</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1.1.1  比选人将于前附表规定的时间和地点举行开标会议，参加竞标的竞标单位代表应签名报到，以证明其出席开标会议。</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1.1.2  开标会议由比选人的招标委员会（或招标小组）组织并主持。对竞标文件进行检查，确定它们是否完整，文件签署是否正确，以及是否按顺序编制。但按规定提交合格撤回申请的竞标文件不予开封。</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1.1.3  竞标单位法定代表人或授权代表未参加开标会议的视为自动弃权。</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1.1.4  竞标单位有下列情况之一者将视为竞标无效。</w:t>
      </w:r>
    </w:p>
    <w:p>
      <w:pPr>
        <w:spacing w:line="360" w:lineRule="auto"/>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1.2  竞标文件未按规定标志、密封。</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1.2.1  未经法定代表人或授权委托人签署或未盖竞标单位公章或未盖法定代表人或授权委托人印鉴。</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1.2.2  未按规定的格式填写，内容不全或字迹模糊辨认不清。</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1.2.3  竞标截止时间以后送达的竞标文件。</w:t>
      </w:r>
    </w:p>
    <w:p>
      <w:pPr>
        <w:spacing w:line="360" w:lineRule="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七、评标</w:t>
      </w:r>
    </w:p>
    <w:p>
      <w:pPr>
        <w:spacing w:line="360" w:lineRule="auto"/>
        <w:ind w:firstLine="411" w:firstLineChars="147"/>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评审专家及评审小组的组成：按照《重庆中江船业有限公司评标人员库管理办法（试行）》成立评审小组。</w:t>
      </w:r>
    </w:p>
    <w:p>
      <w:pPr>
        <w:spacing w:line="360" w:lineRule="auto"/>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1.1、评标内容的保密</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1.1.1 公开开标后，直到宣布授予中标单位合同为止，凡属于审查、澄清、评价和比较竞标的所有资料，有关授予合同的信息，都不应向竞标单位或与评标无关的其他人泄露。</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1.1.2 在竞标文件的审查、澄清、评价和比较以及授予合同的过程中，竞标单位对比选人和评标专家小组成员施加影响的任何行为，都将导致其被取消竞标资格。</w:t>
      </w:r>
    </w:p>
    <w:p>
      <w:pPr>
        <w:spacing w:line="360" w:lineRule="auto"/>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1.2、竞标文件的澄清</w:t>
      </w:r>
    </w:p>
    <w:p>
      <w:pPr>
        <w:spacing w:line="360" w:lineRule="auto"/>
        <w:ind w:firstLine="555"/>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为了有助于竞标文件的审查、评价和比较，评审专家小组可以个别地要求竞标单位澄清其竞标文件。有关澄清的要求与答复，应以书面形式进行，但不允许更改竞标报价或竞标的实质性内容。</w:t>
      </w:r>
    </w:p>
    <w:p>
      <w:pPr>
        <w:spacing w:line="360" w:lineRule="auto"/>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1.3、竞标文件的符合性鉴定</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1.3.1  在详细评标之前。评审专家小组将首先审定每份竞标文件是否在实质上响应了竞标文件的要求。</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1.3.2  就本条款而言，实质上响应要求的竞标文件，应该与比选文件的所有规定要求、条件、条款和规范相符，无显著差异或保留。所谓显著差异或保留是指对工程的发包范围、质量标准及运用产生实质性影响；或者对合同中规定的竞标人的权力及竞标单位的责任造成实质性限制；而且纠正这种差异或保留，将会对其他实质上响应要求的竞标单位的竞争地位产生不公正影响。</w:t>
      </w:r>
    </w:p>
    <w:p>
      <w:pPr>
        <w:spacing w:line="360" w:lineRule="auto"/>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1.4 、如果竞标文件在实质上不响应比选文件的要求，比选人将予以拒绝，并且不允许通过修正或撤销其不符合要求的差异或保留，使之成为具有响应性的竞标。</w:t>
      </w:r>
    </w:p>
    <w:p>
      <w:pPr>
        <w:spacing w:line="360" w:lineRule="auto"/>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1.5、竞标文件的评价与比较</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1.5.1在评价与比较时应通过对竞标单位的竞标报价、工期、质量标准、施工方案或施工组织设计、社会信誉及以往业绩等综合评价。</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1.5.2本次评选采用综合评分法；评审委员在开标当天对各竞标单位的竞标文件进行评审，所有评审专家对竞标单位打分的算数平均值（取两位小数）为竞标单位的最终得分。最后按得分由高到低的顺序进行排名，由比选人根据竞标文件进行综合评估和决策，以确定最终中选人。</w:t>
      </w:r>
    </w:p>
    <w:p>
      <w:pPr>
        <w:spacing w:line="360" w:lineRule="auto"/>
        <w:outlineLvl w:val="1"/>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八、授予合同</w:t>
      </w:r>
    </w:p>
    <w:p>
      <w:pPr>
        <w:spacing w:line="360" w:lineRule="auto"/>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1.1、中标通知书</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1.1.1  确定出中标单位后在竞标有效期截止前，比选人将以书面形式通知中标的竞标单位其竞标被接受。在该通知书（以下称为“中标通知书”）中给出比选人对中标单位按本合同施工、竣工和保修工程的中标标价，以及工期、质量和有关合同签订的日期。</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1.1.2  中标通知书为合同的组成部分。</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1.1.3  比选人及时将未中标的结果通知其他竞标单位。</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1.1.4  中标结果在重轮集团网站公示，时间为3天。</w:t>
      </w:r>
    </w:p>
    <w:p>
      <w:pPr>
        <w:pStyle w:val="12"/>
        <w:widowControl/>
        <w:spacing w:beforeAutospacing="0" w:afterAutospacing="0" w:line="360" w:lineRule="auto"/>
        <w:ind w:firstLine="700" w:firstLineChars="250"/>
        <w:jc w:val="both"/>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 xml:space="preserve">1.1.5  中标通知书（样本） </w:t>
      </w:r>
    </w:p>
    <w:p>
      <w:pPr>
        <w:pStyle w:val="12"/>
        <w:widowControl/>
        <w:spacing w:beforeAutospacing="0" w:afterAutospacing="0" w:line="360" w:lineRule="auto"/>
        <w:jc w:val="center"/>
        <w:rPr>
          <w:rFonts w:hint="eastAsia" w:ascii="方正仿宋_GBK" w:hAnsi="方正仿宋_GBK" w:eastAsia="方正仿宋_GBK" w:cs="方正仿宋_GBK"/>
          <w:bCs/>
          <w:color w:val="000000" w:themeColor="text1"/>
          <w:kern w:val="2"/>
          <w:sz w:val="28"/>
          <w:szCs w:val="28"/>
          <w14:textFill>
            <w14:solidFill>
              <w14:schemeClr w14:val="tx1"/>
            </w14:solidFill>
          </w14:textFill>
        </w:rPr>
      </w:pPr>
    </w:p>
    <w:p>
      <w:pPr>
        <w:pStyle w:val="12"/>
        <w:widowControl/>
        <w:spacing w:beforeAutospacing="0" w:afterAutospacing="0" w:line="360" w:lineRule="auto"/>
        <w:jc w:val="center"/>
        <w:rPr>
          <w:rFonts w:hint="eastAsia" w:ascii="方正仿宋_GBK" w:hAnsi="方正仿宋_GBK" w:eastAsia="方正仿宋_GBK" w:cs="方正仿宋_GBK"/>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2"/>
          <w:sz w:val="28"/>
          <w:szCs w:val="28"/>
          <w14:textFill>
            <w14:solidFill>
              <w14:schemeClr w14:val="tx1"/>
            </w14:solidFill>
          </w14:textFill>
        </w:rPr>
        <w:t xml:space="preserve"> 中标通知书（样稿）</w:t>
      </w:r>
    </w:p>
    <w:p>
      <w:pPr>
        <w:pStyle w:val="12"/>
        <w:widowControl/>
        <w:spacing w:beforeAutospacing="0" w:afterAutospacing="0" w:line="360" w:lineRule="auto"/>
        <w:rPr>
          <w:rFonts w:hint="eastAsia" w:ascii="方正仿宋_GBK" w:hAnsi="方正仿宋_GBK" w:eastAsia="方正仿宋_GBK" w:cs="方正仿宋_GBK"/>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2"/>
          <w:sz w:val="28"/>
          <w:szCs w:val="28"/>
          <w14:textFill>
            <w14:solidFill>
              <w14:schemeClr w14:val="tx1"/>
            </w14:solidFill>
          </w14:textFill>
        </w:rPr>
        <w:t>中标人∶重庆市XXX有限公司</w:t>
      </w:r>
    </w:p>
    <w:p>
      <w:pPr>
        <w:pStyle w:val="12"/>
        <w:widowControl/>
        <w:spacing w:beforeAutospacing="0" w:afterAutospacing="0" w:line="360" w:lineRule="auto"/>
        <w:rPr>
          <w:rFonts w:hint="eastAsia" w:ascii="方正仿宋_GBK" w:hAnsi="方正仿宋_GBK" w:eastAsia="方正仿宋_GBK" w:cs="方正仿宋_GBK"/>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2"/>
          <w:sz w:val="28"/>
          <w:szCs w:val="28"/>
          <w14:textFill>
            <w14:solidFill>
              <w14:schemeClr w14:val="tx1"/>
            </w14:solidFill>
          </w14:textFill>
        </w:rPr>
        <w:t>比选人∶重庆中江船业有限公司</w:t>
      </w:r>
    </w:p>
    <w:p>
      <w:pPr>
        <w:pStyle w:val="12"/>
        <w:widowControl/>
        <w:spacing w:beforeAutospacing="0" w:afterAutospacing="0" w:line="360" w:lineRule="auto"/>
        <w:ind w:firstLine="560" w:firstLineChars="200"/>
        <w:rPr>
          <w:rFonts w:hint="eastAsia" w:ascii="方正仿宋_GBK" w:hAnsi="方正仿宋_GBK" w:eastAsia="方正仿宋_GBK" w:cs="方正仿宋_GBK"/>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2"/>
          <w:sz w:val="28"/>
          <w:szCs w:val="28"/>
          <w14:textFill>
            <w14:solidFill>
              <w14:schemeClr w14:val="tx1"/>
            </w14:solidFill>
          </w14:textFill>
        </w:rPr>
        <w:t>重庆中江船业有限公司</w:t>
      </w:r>
      <w:r>
        <w:rPr>
          <w:rFonts w:hint="eastAsia" w:ascii="方正仿宋_GBK" w:hAnsi="方正仿宋_GBK" w:eastAsia="方正仿宋_GBK" w:cs="方正仿宋_GBK"/>
          <w:color w:val="000000" w:themeColor="text1"/>
          <w:sz w:val="28"/>
          <w:szCs w:val="28"/>
          <w14:textFill>
            <w14:solidFill>
              <w14:schemeClr w14:val="tx1"/>
            </w14:solidFill>
          </w14:textFill>
        </w:rPr>
        <w:t>XXX工程</w:t>
      </w:r>
      <w:r>
        <w:rPr>
          <w:rFonts w:hint="eastAsia" w:ascii="方正仿宋_GBK" w:hAnsi="方正仿宋_GBK" w:eastAsia="方正仿宋_GBK" w:cs="方正仿宋_GBK"/>
          <w:bCs/>
          <w:color w:val="000000" w:themeColor="text1"/>
          <w:kern w:val="2"/>
          <w:sz w:val="28"/>
          <w:szCs w:val="28"/>
          <w14:textFill>
            <w14:solidFill>
              <w14:schemeClr w14:val="tx1"/>
            </w14:solidFill>
          </w14:textFill>
        </w:rPr>
        <w:t>（项目编号∶     程于202</w:t>
      </w:r>
      <w:r>
        <w:rPr>
          <w:rFonts w:hint="eastAsia" w:ascii="方正仿宋_GBK" w:hAnsi="方正仿宋_GBK" w:eastAsia="方正仿宋_GBK" w:cs="方正仿宋_GBK"/>
          <w:bCs/>
          <w:color w:val="000000" w:themeColor="text1"/>
          <w:kern w:val="2"/>
          <w:sz w:val="28"/>
          <w:szCs w:val="28"/>
          <w:lang w:val="en-US" w:eastAsia="zh-CN"/>
          <w14:textFill>
            <w14:solidFill>
              <w14:schemeClr w14:val="tx1"/>
            </w14:solidFill>
          </w14:textFill>
        </w:rPr>
        <w:t>5</w:t>
      </w:r>
      <w:r>
        <w:rPr>
          <w:rFonts w:hint="eastAsia" w:ascii="方正仿宋_GBK" w:hAnsi="方正仿宋_GBK" w:eastAsia="方正仿宋_GBK" w:cs="方正仿宋_GBK"/>
          <w:bCs/>
          <w:color w:val="000000" w:themeColor="text1"/>
          <w:kern w:val="2"/>
          <w:sz w:val="28"/>
          <w:szCs w:val="28"/>
          <w14:textFill>
            <w14:solidFill>
              <w14:schemeClr w14:val="tx1"/>
            </w14:solidFill>
          </w14:textFill>
        </w:rPr>
        <w:t>年X月XX日开标后，经综合评定，确定你为该项目竞标的中标人，中标价为人民币∶X元（大写：X圆整）（含 X%税金）。中标项目范围XXX工程</w:t>
      </w:r>
      <w:r>
        <w:rPr>
          <w:rFonts w:hint="eastAsia" w:ascii="方正仿宋_GBK" w:hAnsi="方正仿宋_GBK" w:eastAsia="方正仿宋_GBK" w:cs="方正仿宋_GBK"/>
          <w:color w:val="000000" w:themeColor="text1"/>
          <w:sz w:val="28"/>
          <w:szCs w:val="28"/>
          <w14:textFill>
            <w14:solidFill>
              <w14:schemeClr w14:val="tx1"/>
            </w14:solidFill>
          </w14:textFill>
        </w:rPr>
        <w:t>劳务安装</w:t>
      </w:r>
      <w:r>
        <w:rPr>
          <w:rFonts w:hint="eastAsia" w:ascii="方正仿宋_GBK" w:hAnsi="方正仿宋_GBK" w:eastAsia="方正仿宋_GBK" w:cs="方正仿宋_GBK"/>
          <w:bCs/>
          <w:color w:val="000000" w:themeColor="text1"/>
          <w:kern w:val="2"/>
          <w:sz w:val="28"/>
          <w:szCs w:val="28"/>
          <w14:textFill>
            <w14:solidFill>
              <w14:schemeClr w14:val="tx1"/>
            </w14:solidFill>
          </w14:textFill>
        </w:rPr>
        <w:t>，工程质量必须符合施工图纸要求。你单位收到中标通知书后，按照比选文件的要求尽快办理有关手续和签署合同文件。</w:t>
      </w:r>
    </w:p>
    <w:p>
      <w:pPr>
        <w:pStyle w:val="12"/>
        <w:widowControl/>
        <w:spacing w:beforeAutospacing="0" w:afterAutospacing="0" w:line="360" w:lineRule="auto"/>
        <w:ind w:firstLine="4760" w:firstLineChars="1700"/>
        <w:rPr>
          <w:rFonts w:hint="eastAsia" w:ascii="方正仿宋_GBK" w:hAnsi="方正仿宋_GBK" w:eastAsia="方正仿宋_GBK" w:cs="方正仿宋_GBK"/>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2"/>
          <w:sz w:val="28"/>
          <w:szCs w:val="28"/>
          <w14:textFill>
            <w14:solidFill>
              <w14:schemeClr w14:val="tx1"/>
            </w14:solidFill>
          </w14:textFill>
        </w:rPr>
        <w:t>招标人∶ 重庆中江船业有限公司</w:t>
      </w:r>
    </w:p>
    <w:p>
      <w:pPr>
        <w:pStyle w:val="12"/>
        <w:widowControl/>
        <w:spacing w:beforeAutospacing="0" w:afterAutospacing="0" w:line="360" w:lineRule="auto"/>
        <w:ind w:firstLine="6860" w:firstLineChars="2450"/>
        <w:rPr>
          <w:rFonts w:hint="eastAsia" w:ascii="方正仿宋_GBK" w:hAnsi="方正仿宋_GBK" w:eastAsia="方正仿宋_GBK" w:cs="方正仿宋_GBK"/>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Cs/>
          <w:color w:val="000000" w:themeColor="text1"/>
          <w:kern w:val="2"/>
          <w:sz w:val="28"/>
          <w:szCs w:val="28"/>
          <w14:textFill>
            <w14:solidFill>
              <w14:schemeClr w14:val="tx1"/>
            </w14:solidFill>
          </w14:textFill>
        </w:rPr>
        <w:t>202</w:t>
      </w:r>
      <w:r>
        <w:rPr>
          <w:rFonts w:hint="eastAsia" w:ascii="方正仿宋_GBK" w:hAnsi="方正仿宋_GBK" w:eastAsia="方正仿宋_GBK" w:cs="方正仿宋_GBK"/>
          <w:bCs/>
          <w:color w:val="000000" w:themeColor="text1"/>
          <w:kern w:val="2"/>
          <w:sz w:val="28"/>
          <w:szCs w:val="28"/>
          <w:lang w:val="en-US" w:eastAsia="zh-CN"/>
          <w14:textFill>
            <w14:solidFill>
              <w14:schemeClr w14:val="tx1"/>
            </w14:solidFill>
          </w14:textFill>
        </w:rPr>
        <w:t>5</w:t>
      </w:r>
      <w:r>
        <w:rPr>
          <w:rFonts w:hint="eastAsia" w:ascii="方正仿宋_GBK" w:hAnsi="方正仿宋_GBK" w:eastAsia="方正仿宋_GBK" w:cs="方正仿宋_GBK"/>
          <w:bCs/>
          <w:color w:val="000000" w:themeColor="text1"/>
          <w:kern w:val="2"/>
          <w:sz w:val="28"/>
          <w:szCs w:val="28"/>
          <w14:textFill>
            <w14:solidFill>
              <w14:schemeClr w14:val="tx1"/>
            </w14:solidFill>
          </w14:textFill>
        </w:rPr>
        <w:t>年X月X日</w:t>
      </w:r>
    </w:p>
    <w:p>
      <w:pPr>
        <w:spacing w:line="360" w:lineRule="auto"/>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1.2、合同协议书的签署</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1.2.1  中标单位应按照中标通知书中规定的日期、时间和地点，由法定代表人或授权代表前往与建设单位代表签订合同，同时按中标金额的</w: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bCs/>
          <w:color w:val="000000" w:themeColor="text1"/>
          <w:sz w:val="28"/>
          <w:szCs w:val="28"/>
          <w14:textFill>
            <w14:solidFill>
              <w14:schemeClr w14:val="tx1"/>
            </w14:solidFill>
          </w14:textFill>
        </w:rPr>
        <w:t>%缴纳履约保证金（以现金及招标人可以接受的其他方式）。</w:t>
      </w:r>
    </w:p>
    <w:p>
      <w:pPr>
        <w:spacing w:line="360" w:lineRule="auto"/>
        <w:ind w:firstLine="570"/>
        <w:outlineLvl w:val="1"/>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 xml:space="preserve">1.2.2  如果中标单位不按本须知第1.2.1条规定执行，比选人将有充分理由废除授标，另选中标单位。 </w:t>
      </w:r>
    </w:p>
    <w:p>
      <w:pPr>
        <w:pStyle w:val="6"/>
        <w:spacing w:line="360" w:lineRule="auto"/>
        <w:ind w:firstLine="57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分相同的情况，则由评标专家投票表决从中确定中标候选人。</w:t>
      </w:r>
    </w:p>
    <w:p>
      <w:pPr>
        <w:pStyle w:val="6"/>
        <w:spacing w:line="360" w:lineRule="auto"/>
        <w:rPr>
          <w:rFonts w:asciiTheme="majorEastAsia" w:hAnsiTheme="majorEastAsia" w:eastAsiaTheme="majorEastAsia"/>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bCs/>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bCs/>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bCs/>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bCs/>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bCs/>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bCs/>
          <w:color w:val="000000" w:themeColor="text1"/>
          <w:sz w:val="28"/>
          <w:szCs w:val="28"/>
          <w14:textFill>
            <w14:solidFill>
              <w14:schemeClr w14:val="tx1"/>
            </w14:solidFill>
          </w14:textFill>
        </w:rPr>
      </w:pPr>
    </w:p>
    <w:p>
      <w:pPr>
        <w:spacing w:line="360" w:lineRule="auto"/>
        <w:jc w:val="center"/>
        <w:rPr>
          <w:rFonts w:hint="eastAsia" w:ascii="方正小标宋_GBK" w:hAnsi="方正小标宋_GBK" w:eastAsia="方正小标宋_GBK" w:cs="方正小标宋_GBK"/>
          <w:b/>
          <w:bCs/>
          <w:color w:val="000000" w:themeColor="text1"/>
          <w:sz w:val="32"/>
          <w:szCs w:val="32"/>
          <w14:textFill>
            <w14:solidFill>
              <w14:schemeClr w14:val="tx1"/>
            </w14:solidFill>
          </w14:textFill>
        </w:rPr>
      </w:pPr>
    </w:p>
    <w:p>
      <w:pPr>
        <w:spacing w:line="360" w:lineRule="auto"/>
        <w:jc w:val="center"/>
        <w:rPr>
          <w:rFonts w:hint="eastAsia" w:ascii="方正小标宋_GBK" w:hAnsi="方正小标宋_GBK" w:eastAsia="方正小标宋_GBK" w:cs="方正小标宋_GBK"/>
          <w:b/>
          <w:bCs/>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bCs/>
          <w:color w:val="000000" w:themeColor="text1"/>
          <w:sz w:val="32"/>
          <w:szCs w:val="32"/>
          <w14:textFill>
            <w14:solidFill>
              <w14:schemeClr w14:val="tx1"/>
            </w14:solidFill>
          </w14:textFill>
        </w:rPr>
        <w:t>第三章 工程内容及界面</w:t>
      </w:r>
    </w:p>
    <w:p>
      <w:pPr>
        <w:spacing w:line="460" w:lineRule="exact"/>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一、施工依据、工程界面</w:t>
      </w:r>
    </w:p>
    <w:p>
      <w:pPr>
        <w:spacing w:line="460" w:lineRule="exact"/>
        <w:ind w:left="560" w:hanging="560" w:hangingChars="200"/>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 xml:space="preserve"> 1.</w:t>
      </w:r>
      <w:r>
        <w:rPr>
          <w:rFonts w:hint="eastAsia" w:ascii="方正仿宋_GBK" w:hAnsi="方正仿宋_GBK" w:eastAsia="方正仿宋_GBK" w:cs="方正仿宋_GBK"/>
          <w:b/>
          <w:color w:val="000000" w:themeColor="text1"/>
          <w:sz w:val="28"/>
          <w:szCs w:val="28"/>
          <w14:textFill>
            <w14:solidFill>
              <w14:schemeClr w14:val="tx1"/>
            </w14:solidFill>
          </w14:textFill>
        </w:rPr>
        <w:t>施工依据：</w:t>
      </w:r>
      <w:r>
        <w:rPr>
          <w:rFonts w:hint="eastAsia" w:ascii="方正仿宋_GBK" w:hAnsi="方正仿宋_GBK" w:eastAsia="方正仿宋_GBK" w:cs="方正仿宋_GBK"/>
          <w:bCs/>
          <w:color w:val="000000" w:themeColor="text1"/>
          <w:sz w:val="28"/>
          <w:szCs w:val="28"/>
          <w:lang w:eastAsia="zh-CN"/>
          <w14:textFill>
            <w14:solidFill>
              <w14:schemeClr w14:val="tx1"/>
            </w14:solidFill>
          </w14:textFill>
        </w:rPr>
        <w:t>重庆力瑞船舶设计</w:t>
      </w:r>
      <w:r>
        <w:rPr>
          <w:rFonts w:hint="eastAsia" w:ascii="方正仿宋_GBK" w:hAnsi="方正仿宋_GBK" w:eastAsia="方正仿宋_GBK" w:cs="方正仿宋_GBK"/>
          <w:bCs/>
          <w:color w:val="000000" w:themeColor="text1"/>
          <w:sz w:val="28"/>
          <w:szCs w:val="28"/>
          <w14:textFill>
            <w14:solidFill>
              <w14:schemeClr w14:val="tx1"/>
            </w14:solidFill>
          </w14:textFill>
        </w:rPr>
        <w:t>有限公司</w:t>
      </w: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t>130m集散货船（D型）</w:t>
      </w:r>
      <w:r>
        <w:rPr>
          <w:rFonts w:hint="eastAsia" w:ascii="方正仿宋_GBK" w:hAnsi="方正仿宋_GBK" w:eastAsia="方正仿宋_GBK" w:cs="方正仿宋_GBK"/>
          <w:bCs/>
          <w:color w:val="000000" w:themeColor="text1"/>
          <w:sz w:val="28"/>
          <w:szCs w:val="28"/>
          <w14:textFill>
            <w14:solidFill>
              <w14:schemeClr w14:val="tx1"/>
            </w14:solidFill>
          </w14:textFill>
        </w:rPr>
        <w:t>退审图</w:t>
      </w:r>
    </w:p>
    <w:tbl>
      <w:tblPr>
        <w:tblStyle w:val="16"/>
        <w:tblW w:w="8318"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54"/>
        <w:gridCol w:w="766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13" w:hRule="atLeast"/>
          <w:jc w:val="center"/>
        </w:trPr>
        <w:tc>
          <w:tcPr>
            <w:tcW w:w="654" w:type="dxa"/>
            <w:vAlign w:val="center"/>
          </w:tcPr>
          <w:p>
            <w:pP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1</w:t>
            </w:r>
          </w:p>
        </w:tc>
        <w:tc>
          <w:tcPr>
            <w:tcW w:w="7664" w:type="dxa"/>
            <w:vAlign w:val="center"/>
          </w:tcPr>
          <w:p>
            <w:pP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 xml:space="preserve">生产设计部门编制的施工工艺 。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00" w:hRule="atLeast"/>
          <w:jc w:val="center"/>
        </w:trPr>
        <w:tc>
          <w:tcPr>
            <w:tcW w:w="654" w:type="dxa"/>
            <w:vAlign w:val="center"/>
          </w:tcPr>
          <w:p>
            <w:pP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2</w:t>
            </w:r>
          </w:p>
        </w:tc>
        <w:tc>
          <w:tcPr>
            <w:tcW w:w="7664" w:type="dxa"/>
            <w:vAlign w:val="center"/>
          </w:tcPr>
          <w:p>
            <w:pPr>
              <w:spacing w:line="460" w:lineRule="exact"/>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t>130m集散货船（D型）</w:t>
            </w:r>
            <w:r>
              <w:rPr>
                <w:rFonts w:hint="eastAsia" w:ascii="方正仿宋_GBK" w:hAnsi="方正仿宋_GBK" w:eastAsia="方正仿宋_GBK" w:cs="方正仿宋_GBK"/>
                <w:bCs/>
                <w:color w:val="000000" w:themeColor="text1"/>
                <w:sz w:val="28"/>
                <w:szCs w:val="28"/>
                <w14:textFill>
                  <w14:solidFill>
                    <w14:schemeClr w14:val="tx1"/>
                  </w14:solidFill>
                </w14:textFill>
              </w:rPr>
              <w:t>退审图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13" w:hRule="atLeast"/>
          <w:jc w:val="center"/>
        </w:trPr>
        <w:tc>
          <w:tcPr>
            <w:tcW w:w="654" w:type="dxa"/>
            <w:vAlign w:val="center"/>
          </w:tcPr>
          <w:p>
            <w:pP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3</w:t>
            </w:r>
          </w:p>
        </w:tc>
        <w:tc>
          <w:tcPr>
            <w:tcW w:w="7664" w:type="dxa"/>
            <w:vAlign w:val="center"/>
          </w:tcPr>
          <w:p>
            <w:pPr>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lang w:val="en-US" w:eastAsia="zh-CN"/>
                <w14:textFill>
                  <w14:solidFill>
                    <w14:schemeClr w14:val="tx1"/>
                  </w14:solidFill>
                </w14:textFill>
              </w:rPr>
              <w:t>130m集散货船（D型）</w:t>
            </w:r>
            <w:r>
              <w:rPr>
                <w:rFonts w:hint="eastAsia" w:ascii="方正仿宋_GBK" w:hAnsi="方正仿宋_GBK" w:eastAsia="方正仿宋_GBK" w:cs="方正仿宋_GBK"/>
                <w:bCs/>
                <w:color w:val="000000" w:themeColor="text1"/>
                <w:sz w:val="28"/>
                <w:szCs w:val="28"/>
                <w14:textFill>
                  <w14:solidFill>
                    <w14:schemeClr w14:val="tx1"/>
                  </w14:solidFill>
                </w14:textFill>
              </w:rPr>
              <w:t>生产设计图</w:t>
            </w:r>
          </w:p>
        </w:tc>
      </w:tr>
    </w:tbl>
    <w:p>
      <w:pPr>
        <w:spacing w:line="460" w:lineRule="exact"/>
        <w:ind w:firstLine="140" w:firstLineChars="5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Cs/>
          <w:color w:val="000000" w:themeColor="text1"/>
          <w:sz w:val="28"/>
          <w:szCs w:val="28"/>
          <w14:textFill>
            <w14:solidFill>
              <w14:schemeClr w14:val="tx1"/>
            </w14:solidFill>
          </w14:textFill>
        </w:rPr>
        <w:t>2</w:t>
      </w:r>
      <w:r>
        <w:rPr>
          <w:rFonts w:hint="eastAsia" w:ascii="方正仿宋_GBK" w:hAnsi="方正仿宋_GBK" w:eastAsia="方正仿宋_GBK" w:cs="方正仿宋_GBK"/>
          <w:b/>
          <w:color w:val="000000" w:themeColor="text1"/>
          <w:sz w:val="28"/>
          <w:szCs w:val="28"/>
          <w14:textFill>
            <w14:solidFill>
              <w14:schemeClr w14:val="tx1"/>
            </w14:solidFill>
          </w14:textFill>
        </w:rPr>
        <w:t>.工程界面</w:t>
      </w:r>
      <w:bookmarkStart w:id="5" w:name="_Toc19853"/>
      <w:bookmarkStart w:id="6" w:name="_Toc17121"/>
      <w:bookmarkStart w:id="7" w:name="_Toc18196"/>
      <w:bookmarkStart w:id="8" w:name="_Toc6068"/>
      <w:bookmarkStart w:id="9" w:name="_Toc17614"/>
      <w:bookmarkStart w:id="10" w:name="_Toc15639"/>
      <w:bookmarkStart w:id="11" w:name="_Toc14347"/>
      <w:bookmarkStart w:id="12" w:name="_Toc32121"/>
    </w:p>
    <w:p>
      <w:pPr>
        <w:spacing w:line="460" w:lineRule="exact"/>
        <w:ind w:left="105" w:leftChars="50"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船体工程界面：</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w:t>
      </w:r>
      <w:r>
        <w:rPr>
          <w:rFonts w:hint="eastAsia" w:ascii="方正仿宋_GBK" w:hAnsi="方正仿宋_GBK" w:eastAsia="方正仿宋_GBK" w:cs="方正仿宋_GBK"/>
          <w:sz w:val="28"/>
          <w:szCs w:val="28"/>
        </w:rPr>
        <w:t>分段的全部钢结构放样、划线、下料、组合、装配、焊接、校正、打磨全过程施工及划地样线、摆墩、搭建样台、雨（阳）棚、脚手架、下排换墩等辅助工作并提交检验合格。</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（2）分段的护舷材安装，各舱室人孔盖安装及主机座、发电机座的安装焊接。</w:t>
      </w:r>
    </w:p>
    <w:p>
      <w:pPr>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（3）全船门、窗船体开口校平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kern w:val="0"/>
          <w:sz w:val="28"/>
          <w:szCs w:val="28"/>
        </w:rPr>
        <w:t>全船舱内外所有构件板材上的焊疤打磨与母材平整，全船舱内舱外所有构件焊缝（包括构件的自由边）、外板、围壁板、甲板的焊缝打磨光顺。</w:t>
      </w:r>
    </w:p>
    <w:p>
      <w:pPr>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（4）合拢缝焊接及打磨。</w:t>
      </w:r>
    </w:p>
    <w:p>
      <w:pPr>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（5）舾装件安装（含主辅机座、艉绞机座、锚机座、带缆桩预制及安装、锚链筒及锚穴安装、艏艉桅杆预制及定位、舱室及上层直梯及斜梯预制及安装焊接、靠把底座的预制安装及焊接，靠把捆扎、 舱室花钢板铺设、钢质门、焊接防火门、集控室隔音门窗的安装、导缆孔及舷窗安装）</w:t>
      </w:r>
    </w:p>
    <w:p>
      <w:pPr>
        <w:jc w:val="left"/>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（6）、舵机、锚机、艉绞腹板焊接；</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）舱室密性及水压试验,船体探伤拍片。</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）配合油漆涂装、隔热搭跳架等。</w:t>
      </w:r>
    </w:p>
    <w:p>
      <w:pPr>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）船体施工中的需要的工艺孔开设及还原。</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）油漆涂装密闭舱室需要的工艺孔开设及还原。</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生活</w:t>
      </w:r>
      <w:r>
        <w:rPr>
          <w:rFonts w:hint="eastAsia" w:ascii="方正仿宋_GBK" w:hAnsi="方正仿宋_GBK" w:eastAsia="方正仿宋_GBK" w:cs="方正仿宋_GBK"/>
          <w:sz w:val="28"/>
          <w:szCs w:val="28"/>
        </w:rPr>
        <w:t xml:space="preserve">艇底座结构加强安装焊接。 </w:t>
      </w:r>
    </w:p>
    <w:p>
      <w:pPr>
        <w:spacing w:line="400" w:lineRule="exact"/>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二、舱室部分</w:t>
      </w:r>
    </w:p>
    <w:p>
      <w:pPr>
        <w:spacing w:line="400" w:lineRule="exact"/>
        <w:ind w:firstLine="560" w:firstLineChars="200"/>
        <w:textAlignment w:val="baseline"/>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1.舱内花纹板、钢板网及支架结构制作安装。</w:t>
      </w:r>
    </w:p>
    <w:p>
      <w:pPr>
        <w:spacing w:line="400" w:lineRule="exact"/>
        <w:ind w:firstLine="560" w:firstLineChars="200"/>
        <w:textAlignment w:val="baseline"/>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2.主机及发电机、舵机、锚机等设备基座制作和轮机定位后的焊接。</w:t>
      </w:r>
    </w:p>
    <w:p>
      <w:pPr>
        <w:spacing w:line="400" w:lineRule="exact"/>
        <w:textAlignment w:val="baseline"/>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三、配合工作</w:t>
      </w:r>
    </w:p>
    <w:p>
      <w:pPr>
        <w:spacing w:line="400" w:lineRule="exact"/>
        <w:ind w:firstLine="560" w:firstLineChars="200"/>
        <w:textAlignment w:val="baseline"/>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1.装饰、油漆、隔热工程必须的梯架制作安装和拆除；</w:t>
      </w:r>
    </w:p>
    <w:p>
      <w:pPr>
        <w:spacing w:line="400" w:lineRule="exact"/>
        <w:ind w:firstLine="560" w:firstLineChars="200"/>
        <w:textAlignment w:val="baseline"/>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2.装饰和空调底座安装工程支架制作。</w:t>
      </w:r>
    </w:p>
    <w:p>
      <w:pPr>
        <w:pStyle w:val="11"/>
        <w:spacing w:line="480" w:lineRule="exact"/>
        <w:ind w:firstLine="0" w:firstLineChars="0"/>
        <w:rPr>
          <w:rFonts w:hint="eastAsia"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四、本工程工期要求</w:t>
      </w:r>
      <w:r>
        <w:rPr>
          <w:rFonts w:hint="eastAsia" w:ascii="方正仿宋_GBK" w:hAnsi="方正仿宋_GBK" w:eastAsia="方正仿宋_GBK" w:cs="方正仿宋_GBK"/>
          <w:bCs/>
          <w:color w:val="000000" w:themeColor="text1"/>
          <w:sz w:val="28"/>
          <w:szCs w:val="28"/>
          <w14:textFill>
            <w14:solidFill>
              <w14:schemeClr w14:val="tx1"/>
            </w14:solidFill>
          </w14:textFill>
        </w:rPr>
        <w:t>：</w:t>
      </w:r>
      <w:bookmarkEnd w:id="5"/>
      <w:bookmarkEnd w:id="6"/>
      <w:bookmarkEnd w:id="7"/>
      <w:bookmarkEnd w:id="8"/>
      <w:bookmarkEnd w:id="9"/>
      <w:bookmarkEnd w:id="10"/>
      <w:bookmarkEnd w:id="11"/>
      <w:bookmarkEnd w:id="12"/>
    </w:p>
    <w:p>
      <w:pPr>
        <w:pStyle w:val="11"/>
        <w:spacing w:line="480" w:lineRule="exact"/>
        <w:ind w:firstLine="372" w:firstLineChars="133"/>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13" w:name="OLE_LINK36"/>
      <w:r>
        <w:rPr>
          <w:rFonts w:hint="eastAsia" w:ascii="方正仿宋_GBK" w:hAnsi="方正仿宋_GBK" w:eastAsia="方正仿宋_GBK" w:cs="方正仿宋_GBK"/>
          <w:bCs/>
          <w:color w:val="000000" w:themeColor="text1"/>
          <w:sz w:val="28"/>
          <w:szCs w:val="28"/>
          <w14:textFill>
            <w14:solidFill>
              <w14:schemeClr w14:val="tx1"/>
            </w14:solidFill>
          </w14:textFill>
        </w:rPr>
        <w:t>工程节点：1、按经营部下达的生产任务书根据合同要求编制的时间节点计划施工，</w:t>
      </w:r>
      <w:r>
        <w:rPr>
          <w:rFonts w:hint="eastAsia" w:ascii="方正仿宋_GBK" w:hAnsi="方正仿宋_GBK" w:eastAsia="方正仿宋_GBK" w:cs="方正仿宋_GBK"/>
          <w:color w:val="000000" w:themeColor="text1"/>
          <w:sz w:val="28"/>
          <w:szCs w:val="28"/>
          <w14:textFill>
            <w14:solidFill>
              <w14:schemeClr w14:val="tx1"/>
            </w14:solidFill>
          </w14:textFill>
        </w:rPr>
        <w:t>在2025.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12.30</w:t>
      </w:r>
      <w:r>
        <w:rPr>
          <w:rFonts w:hint="eastAsia" w:ascii="方正仿宋_GBK" w:hAnsi="方正仿宋_GBK" w:eastAsia="方正仿宋_GBK" w:cs="方正仿宋_GBK"/>
          <w:color w:val="000000" w:themeColor="text1"/>
          <w:sz w:val="28"/>
          <w:szCs w:val="28"/>
          <w14:textFill>
            <w14:solidFill>
              <w14:schemeClr w14:val="tx1"/>
            </w14:solidFill>
          </w14:textFill>
        </w:rPr>
        <w:t>完工交船。</w:t>
      </w:r>
    </w:p>
    <w:p>
      <w:pPr>
        <w:tabs>
          <w:tab w:val="left" w:pos="421"/>
        </w:tabs>
        <w:spacing w:line="4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但在组织施工过程中，如遇下列情况之一，可顺延工期，并及时办理延期手续：</w:t>
      </w:r>
    </w:p>
    <w:p>
      <w:pPr>
        <w:numPr>
          <w:ilvl w:val="0"/>
          <w:numId w:val="3"/>
        </w:numPr>
        <w:spacing w:line="4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因不可抗力被迫停工；</w:t>
      </w:r>
    </w:p>
    <w:p>
      <w:pPr>
        <w:numPr>
          <w:ilvl w:val="0"/>
          <w:numId w:val="3"/>
        </w:numPr>
        <w:spacing w:line="4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因业主原因使合同中的甲方变更计划或变更施工图而不能继续施工；</w:t>
      </w:r>
    </w:p>
    <w:p>
      <w:pPr>
        <w:spacing w:line="4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3、因业主原因使合同中的甲方不能按期供图、提供本合同约定的材料、设备或其所提供的材料、设备不符合要求，被迫停工或不能顺利施工。</w:t>
      </w:r>
    </w:p>
    <w:p>
      <w:pPr>
        <w:spacing w:line="4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4、因总工程其他分包项目的影响不能满足施工进度要求。</w:t>
      </w:r>
    </w:p>
    <w:p>
      <w:pPr>
        <w:spacing w:line="46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根据上述工期要求，竞标人要提供详细要施工进计划，要满足工期节点要求，且科学合理，</w:t>
      </w:r>
      <w:bookmarkStart w:id="14" w:name="_Toc8600"/>
      <w:bookmarkStart w:id="15" w:name="_Toc24604"/>
      <w:bookmarkStart w:id="16" w:name="_Toc16541"/>
      <w:bookmarkStart w:id="17" w:name="_Toc4002"/>
      <w:bookmarkStart w:id="18" w:name="_Toc9540"/>
      <w:bookmarkStart w:id="19" w:name="_Toc3994"/>
      <w:bookmarkStart w:id="20" w:name="_Toc6232"/>
      <w:bookmarkStart w:id="21" w:name="_Toc10483"/>
      <w:bookmarkStart w:id="22" w:name="_Toc16254"/>
      <w:bookmarkStart w:id="23" w:name="_Toc26671"/>
      <w:bookmarkStart w:id="24" w:name="_Toc7157"/>
      <w:r>
        <w:rPr>
          <w:rFonts w:hint="eastAsia" w:ascii="方正仿宋_GBK" w:hAnsi="方正仿宋_GBK" w:eastAsia="方正仿宋_GBK" w:cs="方正仿宋_GBK"/>
          <w:color w:val="000000" w:themeColor="text1"/>
          <w:sz w:val="28"/>
          <w:szCs w:val="28"/>
          <w14:textFill>
            <w14:solidFill>
              <w14:schemeClr w14:val="tx1"/>
            </w14:solidFill>
          </w14:textFill>
        </w:rPr>
        <w:t>对重点，关键节点要有工期保证措施，要对中标后的签订合同的规定时间完工，提出承诺保证。</w:t>
      </w:r>
    </w:p>
    <w:bookmarkEnd w:id="13"/>
    <w:p>
      <w:pPr>
        <w:spacing w:line="460" w:lineRule="exac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五、工艺质量要求</w:t>
      </w:r>
      <w:bookmarkEnd w:id="14"/>
      <w:bookmarkEnd w:id="15"/>
      <w:bookmarkEnd w:id="16"/>
      <w:bookmarkEnd w:id="17"/>
      <w:bookmarkEnd w:id="18"/>
      <w:bookmarkEnd w:id="19"/>
      <w:bookmarkEnd w:id="20"/>
      <w:bookmarkEnd w:id="21"/>
      <w:bookmarkEnd w:id="22"/>
      <w:bookmarkEnd w:id="23"/>
      <w:bookmarkEnd w:id="24"/>
    </w:p>
    <w:p>
      <w:pPr>
        <w:spacing w:line="460" w:lineRule="exact"/>
        <w:ind w:firstLine="420" w:firstLineChars="15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本轮的安装要遵照下列（但不限于）规范、规则及行业标准，包括合同签字日期之前生效的规范、规则的任何修改条款。</w:t>
      </w:r>
    </w:p>
    <w:p>
      <w:pPr>
        <w:spacing w:line="460" w:lineRule="exact"/>
        <w:ind w:firstLine="420" w:firstLineChars="15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1、CCS《钢质内河船舶入级规则》(20</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spacing w:line="460" w:lineRule="exact"/>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2、CCS《钢质内河船舶建造规范》2016及其历年修改通报；</w:t>
      </w:r>
    </w:p>
    <w:p>
      <w:pPr>
        <w:spacing w:line="460" w:lineRule="exact"/>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3、CMSA船舶与海上法定检验规则《内河船舶法定检验技术规则》2019及</w:t>
      </w:r>
      <w:r>
        <w:rPr>
          <w:rFonts w:hint="eastAsia" w:ascii="方正仿宋_GBK" w:hAnsi="方正仿宋_GBK" w:eastAsia="方正仿宋_GBK" w:cs="方正仿宋_GBK"/>
          <w:sz w:val="28"/>
          <w:szCs w:val="28"/>
          <w:lang w:val="en-US" w:eastAsia="zh-CN"/>
        </w:rPr>
        <w:t>2023</w:t>
      </w:r>
      <w:r>
        <w:rPr>
          <w:rFonts w:hint="eastAsia" w:ascii="方正仿宋_GBK" w:hAnsi="方正仿宋_GBK" w:eastAsia="方正仿宋_GBK" w:cs="方正仿宋_GBK"/>
          <w:sz w:val="28"/>
          <w:szCs w:val="28"/>
        </w:rPr>
        <w:t>年《修改通报》；</w:t>
      </w:r>
    </w:p>
    <w:p>
      <w:pPr>
        <w:spacing w:line="460" w:lineRule="exact"/>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4、CCS《材料与焊接规范》2024；</w:t>
      </w:r>
    </w:p>
    <w:p>
      <w:pPr>
        <w:spacing w:line="460" w:lineRule="exact"/>
        <w:ind w:firstLine="420" w:firstLineChars="15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5、《船舶应用天燃气燃料规范》2024</w:t>
      </w:r>
    </w:p>
    <w:p>
      <w:pPr>
        <w:spacing w:line="460" w:lineRule="exact"/>
        <w:ind w:firstLine="420" w:firstLineChars="15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6、《天燃气燃料动力船舶法定检验暂行规定》2024</w:t>
      </w:r>
    </w:p>
    <w:p>
      <w:pPr>
        <w:spacing w:line="460" w:lineRule="exact"/>
        <w:ind w:firstLine="420" w:firstLineChars="1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、《中国造船质量标准》GB/T 34000-2016；</w:t>
      </w:r>
    </w:p>
    <w:p>
      <w:pPr>
        <w:pStyle w:val="11"/>
        <w:spacing w:line="480" w:lineRule="exact"/>
        <w:ind w:firstLine="420" w:firstLineChars="15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、其他适用的规范、法规、标准。</w:t>
      </w:r>
    </w:p>
    <w:p>
      <w:pPr>
        <w:pStyle w:val="11"/>
        <w:spacing w:line="480" w:lineRule="exact"/>
        <w:ind w:firstLine="420" w:firstLineChars="15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、竞标人要提供五年内安装的类似于同类型船舶且质量优良</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艘以上，相关证明材料齐全。</w:t>
      </w:r>
    </w:p>
    <w:p>
      <w:pPr>
        <w:pStyle w:val="11"/>
        <w:spacing w:line="480" w:lineRule="exact"/>
        <w:ind w:firstLine="0" w:firstLineChars="0"/>
        <w:jc w:val="left"/>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六、技术要求</w:t>
      </w:r>
    </w:p>
    <w:p>
      <w:pPr>
        <w:spacing w:line="460" w:lineRule="exact"/>
        <w:ind w:firstLine="280" w:firstLineChars="1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1、提供保障本项目施工组织设计。</w:t>
      </w:r>
    </w:p>
    <w:p>
      <w:pPr>
        <w:spacing w:line="460" w:lineRule="exact"/>
        <w:ind w:firstLine="280" w:firstLineChars="1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2、提供施工人员、设备、材料进场数量及时安排计划。</w:t>
      </w:r>
    </w:p>
    <w:p>
      <w:pPr>
        <w:spacing w:line="460" w:lineRule="exact"/>
        <w:ind w:firstLine="280" w:firstLineChars="1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3、提供各分项工程的施工方案及质量保证措施。</w:t>
      </w:r>
    </w:p>
    <w:p>
      <w:pPr>
        <w:spacing w:line="460" w:lineRule="exact"/>
        <w:ind w:firstLine="280" w:firstLineChars="1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4、提供夏、雨季施工措施。</w:t>
      </w:r>
    </w:p>
    <w:p>
      <w:pPr>
        <w:spacing w:line="460" w:lineRule="exact"/>
        <w:ind w:firstLine="280" w:firstLineChars="1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5、提供安全生产环保文明施工措施。</w:t>
      </w:r>
    </w:p>
    <w:p>
      <w:pPr>
        <w:spacing w:line="440" w:lineRule="exact"/>
        <w:ind w:firstLine="280" w:firstLineChars="1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6、技术人员及安装工属具要求。</w:t>
      </w:r>
    </w:p>
    <w:p>
      <w:pPr>
        <w:pStyle w:val="6"/>
        <w:spacing w:line="44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6.1 单艘船项目经理（技术负责人）1人，承担过2个或2个以上类似船舶的项目经理（技术负责人）。</w:t>
      </w:r>
    </w:p>
    <w:p>
      <w:pPr>
        <w:pStyle w:val="6"/>
        <w:spacing w:line="44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6.2单艘船有焊工证的技术人员工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90%</w:t>
      </w:r>
      <w:r>
        <w:rPr>
          <w:rFonts w:hint="eastAsia" w:ascii="方正仿宋_GBK" w:hAnsi="方正仿宋_GBK" w:eastAsia="方正仿宋_GBK" w:cs="方正仿宋_GBK"/>
          <w:color w:val="000000" w:themeColor="text1"/>
          <w:sz w:val="28"/>
          <w:szCs w:val="28"/>
          <w14:textFill>
            <w14:solidFill>
              <w14:schemeClr w14:val="tx1"/>
            </w14:solidFill>
          </w14:textFill>
        </w:rPr>
        <w:t>以上(CCS证书)；有焊接与切割特种作业证人员</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90%</w:t>
      </w:r>
      <w:r>
        <w:rPr>
          <w:rFonts w:hint="eastAsia" w:ascii="方正仿宋_GBK" w:hAnsi="方正仿宋_GBK" w:eastAsia="方正仿宋_GBK" w:cs="方正仿宋_GBK"/>
          <w:color w:val="000000" w:themeColor="text1"/>
          <w:sz w:val="28"/>
          <w:szCs w:val="28"/>
          <w14:textFill>
            <w14:solidFill>
              <w14:schemeClr w14:val="tx1"/>
            </w14:solidFill>
          </w14:textFill>
        </w:rPr>
        <w:t>人以上。</w:t>
      </w:r>
    </w:p>
    <w:p>
      <w:pPr>
        <w:spacing w:line="440" w:lineRule="exact"/>
        <w:ind w:firstLine="560" w:firstLineChars="200"/>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6.3拟投入的施工机械设备要能满足施工需要。</w:t>
      </w:r>
    </w:p>
    <w:p>
      <w:pPr>
        <w:pStyle w:val="11"/>
        <w:spacing w:line="440" w:lineRule="exact"/>
        <w:ind w:firstLine="0" w:firstLineChars="0"/>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七、</w:t>
      </w:r>
      <w:bookmarkStart w:id="25" w:name="OLE_LINK14"/>
      <w:r>
        <w:rPr>
          <w:rFonts w:hint="eastAsia" w:ascii="方正仿宋_GBK" w:hAnsi="方正仿宋_GBK" w:eastAsia="方正仿宋_GBK" w:cs="方正仿宋_GBK"/>
          <w:b/>
          <w:color w:val="000000" w:themeColor="text1"/>
          <w:sz w:val="28"/>
          <w:szCs w:val="28"/>
          <w14:textFill>
            <w14:solidFill>
              <w14:schemeClr w14:val="tx1"/>
            </w14:solidFill>
          </w14:textFill>
        </w:rPr>
        <w:t>设备及材料供应</w:t>
      </w:r>
    </w:p>
    <w:p>
      <w:pPr>
        <w:pStyle w:val="11"/>
        <w:spacing w:line="440" w:lineRule="exact"/>
        <w:ind w:firstLine="562"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焊机、半自动割刀 、场地转运车辆、由比选人提供，其余安装工具由中标人自行负责。</w:t>
      </w:r>
    </w:p>
    <w:p>
      <w:pPr>
        <w:tabs>
          <w:tab w:val="center" w:pos="4819"/>
        </w:tabs>
        <w:spacing w:line="440" w:lineRule="exac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八、售后服务</w:t>
      </w:r>
    </w:p>
    <w:p>
      <w:pPr>
        <w:tabs>
          <w:tab w:val="center" w:pos="4819"/>
        </w:tabs>
        <w:spacing w:line="44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竞标人要有个完整的、固定的售后服务队伍，售后服务承诺：保质期、售后应答响应等；</w:t>
      </w:r>
    </w:p>
    <w:bookmarkEnd w:id="25"/>
    <w:p>
      <w:pPr>
        <w:spacing w:line="440" w:lineRule="exac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九、工程量：按分段划分确定</w:t>
      </w:r>
    </w:p>
    <w:p>
      <w:pPr>
        <w:spacing w:line="440" w:lineRule="exac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w:t>
      </w:r>
      <w:bookmarkStart w:id="26" w:name="OLE_LINK43"/>
      <w:r>
        <w:rPr>
          <w:rFonts w:hint="eastAsia" w:ascii="方正仿宋_GBK" w:hAnsi="方正仿宋_GBK" w:eastAsia="方正仿宋_GBK" w:cs="方正仿宋_GBK"/>
          <w:b/>
          <w:bCs/>
          <w:color w:val="000000" w:themeColor="text1"/>
          <w:sz w:val="28"/>
          <w:szCs w:val="28"/>
          <w14:textFill>
            <w14:solidFill>
              <w14:schemeClr w14:val="tx1"/>
            </w14:solidFill>
          </w14:textFill>
        </w:rPr>
        <w:t>交验及检验</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竞标人必须</w:t>
      </w:r>
      <w:r>
        <w:rPr>
          <w:rFonts w:hint="eastAsia" w:ascii="方正仿宋_GBK" w:hAnsi="方正仿宋_GBK" w:eastAsia="方正仿宋_GBK" w:cs="方正仿宋_GBK"/>
          <w:bCs/>
          <w:color w:val="000000" w:themeColor="text1"/>
          <w:sz w:val="28"/>
          <w:szCs w:val="28"/>
          <w14:textFill>
            <w14:solidFill>
              <w14:schemeClr w14:val="tx1"/>
            </w14:solidFill>
          </w14:textFill>
        </w:rPr>
        <w:t>按《报检项目表》要求，严格</w:t>
      </w:r>
      <w:r>
        <w:rPr>
          <w:rFonts w:hint="eastAsia" w:ascii="方正仿宋_GBK" w:hAnsi="方正仿宋_GBK" w:eastAsia="方正仿宋_GBK" w:cs="方正仿宋_GBK"/>
          <w:color w:val="000000" w:themeColor="text1"/>
          <w:sz w:val="28"/>
          <w:szCs w:val="28"/>
          <w14:textFill>
            <w14:solidFill>
              <w14:schemeClr w14:val="tx1"/>
            </w14:solidFill>
          </w14:textFill>
        </w:rPr>
        <w:t>遵循</w:t>
      </w:r>
      <w:bookmarkEnd w:id="26"/>
      <w:r>
        <w:rPr>
          <w:rFonts w:hint="eastAsia" w:ascii="方正仿宋_GBK" w:hAnsi="方正仿宋_GBK" w:eastAsia="方正仿宋_GBK" w:cs="方正仿宋_GBK"/>
          <w:color w:val="000000" w:themeColor="text1"/>
          <w:sz w:val="28"/>
          <w:szCs w:val="28"/>
          <w14:textFill>
            <w14:solidFill>
              <w14:schemeClr w14:val="tx1"/>
            </w14:solidFill>
          </w14:textFill>
        </w:rPr>
        <w:t>三级检验制度，即自检、互检和厂检。</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自检：中标人在完成某一项目后，对照施工图进行认真核对，在确认工艺质量无误前提下，以书面形式提交厂检，依此类推。</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互检：项目经自检合格后，交由现场生产主管检验，检验合格后进入下一道程序；</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厂检：项目经互检合格后，交由船厂质技部质量主管检验，并由质量主管联系船检进行交验。</w:t>
      </w:r>
    </w:p>
    <w:p>
      <w:pPr>
        <w:spacing w:line="48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各项交验应直至最终通过船东和现场验船师检验同意。 </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系洎试验；航行试验；中标人应在消除各个检验时发现的缺陷后再进行下一步试验，试验时发现的缺陷应在交船前消除。</w:t>
      </w:r>
    </w:p>
    <w:p>
      <w:pPr>
        <w:spacing w:line="48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p>
      <w:pPr>
        <w:spacing w:line="460" w:lineRule="exact"/>
        <w:rPr>
          <w:rFonts w:asciiTheme="majorEastAsia" w:hAnsiTheme="majorEastAsia" w:eastAsiaTheme="majorEastAsia"/>
          <w:b/>
          <w:color w:val="000000" w:themeColor="text1"/>
          <w:sz w:val="28"/>
          <w:szCs w:val="28"/>
          <w14:textFill>
            <w14:solidFill>
              <w14:schemeClr w14:val="tx1"/>
            </w14:solidFill>
          </w14:textFill>
        </w:rPr>
      </w:pPr>
    </w:p>
    <w:p>
      <w:pPr>
        <w:spacing w:line="460" w:lineRule="exact"/>
        <w:jc w:val="both"/>
        <w:rPr>
          <w:rFonts w:hint="eastAsia" w:asciiTheme="majorEastAsia" w:hAnsiTheme="majorEastAsia" w:eastAsiaTheme="majorEastAsia"/>
          <w:b/>
          <w:color w:val="000000" w:themeColor="text1"/>
          <w:sz w:val="28"/>
          <w:szCs w:val="28"/>
          <w14:textFill>
            <w14:solidFill>
              <w14:schemeClr w14:val="tx1"/>
            </w14:solidFill>
          </w14:textFill>
        </w:rPr>
      </w:pPr>
    </w:p>
    <w:p>
      <w:pPr>
        <w:spacing w:line="460" w:lineRule="exact"/>
        <w:ind w:firstLine="3213" w:firstLineChars="1000"/>
        <w:jc w:val="both"/>
        <w:rPr>
          <w:rFonts w:hint="eastAsia" w:ascii="方正小标宋_GBK" w:hAnsi="方正小标宋_GBK" w:eastAsia="方正小标宋_GBK" w:cs="方正小标宋_GBK"/>
          <w:b/>
          <w:color w:val="000000" w:themeColor="text1"/>
          <w:sz w:val="32"/>
          <w:szCs w:val="32"/>
          <w14:textFill>
            <w14:solidFill>
              <w14:schemeClr w14:val="tx1"/>
            </w14:solidFill>
          </w14:textFill>
        </w:rPr>
      </w:pPr>
    </w:p>
    <w:p>
      <w:pPr>
        <w:spacing w:line="460" w:lineRule="exact"/>
        <w:ind w:firstLine="3213" w:firstLineChars="1000"/>
        <w:jc w:val="both"/>
        <w:rPr>
          <w:rFonts w:hint="eastAsia" w:ascii="方正小标宋_GBK" w:hAnsi="方正小标宋_GBK" w:eastAsia="方正小标宋_GBK" w:cs="方正小标宋_GBK"/>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color w:val="000000" w:themeColor="text1"/>
          <w:sz w:val="32"/>
          <w:szCs w:val="32"/>
          <w14:textFill>
            <w14:solidFill>
              <w14:schemeClr w14:val="tx1"/>
            </w14:solidFill>
          </w14:textFill>
        </w:rPr>
        <w:t>第四章  合同格式（样稿）</w:t>
      </w:r>
    </w:p>
    <w:p>
      <w:pPr>
        <w:spacing w:line="460" w:lineRule="exact"/>
        <w:jc w:val="center"/>
        <w:rPr>
          <w:rFonts w:asciiTheme="majorEastAsia" w:hAnsiTheme="majorEastAsia" w:eastAsiaTheme="majorEastAsia"/>
          <w:color w:val="000000" w:themeColor="text1"/>
          <w:sz w:val="28"/>
          <w:szCs w:val="28"/>
          <w14:textFill>
            <w14:solidFill>
              <w14:schemeClr w14:val="tx1"/>
            </w14:solidFill>
          </w14:textFill>
        </w:rPr>
      </w:pPr>
    </w:p>
    <w:p>
      <w:pPr>
        <w:pStyle w:val="11"/>
        <w:spacing w:line="480" w:lineRule="exact"/>
        <w:ind w:firstLine="960" w:firstLineChars="300"/>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130mLNG单燃料集散货船</w:t>
      </w:r>
      <w:r>
        <w:rPr>
          <w:rFonts w:hint="eastAsia" w:ascii="方正小标宋_GBK" w:hAnsi="方正小标宋_GBK" w:eastAsia="方正小标宋_GBK" w:cs="方正小标宋_GBK"/>
          <w:color w:val="000000" w:themeColor="text1"/>
          <w:sz w:val="32"/>
          <w:szCs w:val="32"/>
          <w14:textFill>
            <w14:solidFill>
              <w14:schemeClr w14:val="tx1"/>
            </w14:solidFill>
          </w14:textFill>
        </w:rPr>
        <w:t>船体建造劳务分包合同</w:t>
      </w:r>
    </w:p>
    <w:p>
      <w:pPr>
        <w:pStyle w:val="11"/>
        <w:spacing w:line="48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甲      方：重庆中江船业有限公司</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法定代表人: 江华</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公司地址:重庆市涪陵区珍溪镇中江路1号</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乙      方：XXX钢结构有限公司</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法定代表人:XXX</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      址: XXXXXXX</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  方式: XXXXXXX</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甲、乙双方在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130mLNG单燃料集散货船</w:t>
      </w:r>
      <w:r>
        <w:rPr>
          <w:rFonts w:hint="eastAsia" w:ascii="方正仿宋_GBK" w:hAnsi="方正仿宋_GBK" w:eastAsia="方正仿宋_GBK" w:cs="方正仿宋_GBK"/>
          <w:color w:val="000000" w:themeColor="text1"/>
          <w:sz w:val="28"/>
          <w:szCs w:val="28"/>
          <w14:textFill>
            <w14:solidFill>
              <w14:schemeClr w14:val="tx1"/>
            </w14:solidFill>
          </w14:textFill>
        </w:rPr>
        <w:t>船体（钢结构部分）图纸消化、理解的基础上，经过友好协商，就乙方承接该船舶船体（钢结构部分）建造劳务的有关事项达成如下协议，供双方共同遵照执行：</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27" w:name="_Toc172015255"/>
      <w:r>
        <w:rPr>
          <w:rFonts w:hint="eastAsia" w:ascii="方正仿宋_GBK" w:hAnsi="方正仿宋_GBK" w:eastAsia="方正仿宋_GBK" w:cs="方正仿宋_GBK"/>
          <w:color w:val="000000" w:themeColor="text1"/>
          <w:sz w:val="28"/>
          <w:szCs w:val="28"/>
          <w14:textFill>
            <w14:solidFill>
              <w14:schemeClr w14:val="tx1"/>
            </w14:solidFill>
          </w14:textFill>
        </w:rPr>
        <w:t>一、工程项目</w:t>
      </w:r>
      <w:bookmarkEnd w:id="27"/>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1.工程名称：</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130mLNG单燃料集散货船</w:t>
      </w:r>
      <w:r>
        <w:rPr>
          <w:rFonts w:hint="eastAsia" w:ascii="方正仿宋_GBK" w:hAnsi="方正仿宋_GBK" w:eastAsia="方正仿宋_GBK" w:cs="方正仿宋_GBK"/>
          <w:color w:val="000000" w:themeColor="text1"/>
          <w:sz w:val="28"/>
          <w:szCs w:val="28"/>
          <w14:textFill>
            <w14:solidFill>
              <w14:schemeClr w14:val="tx1"/>
            </w14:solidFill>
          </w14:textFill>
        </w:rPr>
        <w:t>船体建造（工号：ZJ2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C1327</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2.工程数量：</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1艘</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3.施工依据:</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(1)重庆强源船舶设计有限公司提供的图纸，施工图号：</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CQLR4172A</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(2)钢质内河船舶建造规范（2016）及2022修改通报、《材料与焊接规范》（2024） 。</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内河船舶法定检验技术规则</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2019及2022</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修改通报</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(4)《中国造船质量标准》GB/T34000-2016。</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(5)甲方编制的工艺流程和工艺质量要求。</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(6)甲方根据船东要求对原设计作出的更改通知及图纸错误的修正通知。</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(7)甲方根据现场检验对乙方工程质量提出的整改要求。</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28" w:name="_Toc172015256"/>
      <w:r>
        <w:rPr>
          <w:rFonts w:hint="eastAsia" w:ascii="方正仿宋_GBK" w:hAnsi="方正仿宋_GBK" w:eastAsia="方正仿宋_GBK" w:cs="方正仿宋_GBK"/>
          <w:color w:val="000000" w:themeColor="text1"/>
          <w:sz w:val="28"/>
          <w:szCs w:val="28"/>
          <w14:textFill>
            <w14:solidFill>
              <w14:schemeClr w14:val="tx1"/>
            </w14:solidFill>
          </w14:textFill>
        </w:rPr>
        <w:t>二、工程范围</w:t>
      </w:r>
      <w:bookmarkEnd w:id="28"/>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1.新建造</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130mLNG单燃料集散货船</w:t>
      </w:r>
      <w:r>
        <w:rPr>
          <w:rFonts w:hint="eastAsia" w:ascii="方正仿宋_GBK" w:hAnsi="方正仿宋_GBK" w:eastAsia="方正仿宋_GBK" w:cs="方正仿宋_GBK"/>
          <w:color w:val="000000" w:themeColor="text1"/>
          <w:sz w:val="28"/>
          <w:szCs w:val="28"/>
          <w14:textFill>
            <w14:solidFill>
              <w14:schemeClr w14:val="tx1"/>
            </w14:solidFill>
          </w14:textFill>
        </w:rPr>
        <w:t>船体建造（工号：ZJ2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C1327</w:t>
      </w:r>
      <w:r>
        <w:rPr>
          <w:rFonts w:hint="eastAsia" w:ascii="方正仿宋_GBK" w:hAnsi="方正仿宋_GBK" w:eastAsia="方正仿宋_GBK" w:cs="方正仿宋_GBK"/>
          <w:color w:val="000000" w:themeColor="text1"/>
          <w:sz w:val="28"/>
          <w:szCs w:val="28"/>
          <w14:textFill>
            <w14:solidFill>
              <w14:schemeClr w14:val="tx1"/>
            </w14:solidFill>
          </w14:textFill>
        </w:rPr>
        <w:t>）船体（钢结构部分）建造工程。</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2.按图号</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CQLR4172A</w:t>
      </w:r>
      <w:r>
        <w:rPr>
          <w:rFonts w:hint="eastAsia" w:ascii="方正仿宋_GBK" w:hAnsi="方正仿宋_GBK" w:eastAsia="方正仿宋_GBK" w:cs="方正仿宋_GBK"/>
          <w:color w:val="000000" w:themeColor="text1"/>
          <w:sz w:val="28"/>
          <w:szCs w:val="28"/>
          <w14:textFill>
            <w14:solidFill>
              <w14:schemeClr w14:val="tx1"/>
            </w14:solidFill>
          </w14:textFill>
        </w:rPr>
        <w:t>-施工图钢结构部分和甲方编制的工艺流程、工艺质量要求进行放样、下料、组合、装配、焊接、打磨、校正，提交检验合格。</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除必须机械吊装、转运的材料和大型组合工件及分段合拢定位由甲方提供吊装转运外；乙方施工范围内的材料领用、加工制作及船台铺墩、样台搭建、搭棚、搭架和场内运输等均由乙方人员完成，运输机械设备由甲方负责提供。</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 甲、乙双方约定施工与其它相关工程界面，详见《附件一：建造工程施工界面》。</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29" w:name="_Toc172015257"/>
      <w:r>
        <w:rPr>
          <w:rFonts w:hint="eastAsia" w:ascii="方正仿宋_GBK" w:hAnsi="方正仿宋_GBK" w:eastAsia="方正仿宋_GBK" w:cs="方正仿宋_GBK"/>
          <w:color w:val="000000" w:themeColor="text1"/>
          <w:sz w:val="28"/>
          <w:szCs w:val="28"/>
          <w14:textFill>
            <w14:solidFill>
              <w14:schemeClr w14:val="tx1"/>
            </w14:solidFill>
          </w14:textFill>
        </w:rPr>
        <w:t>三、合同价格</w:t>
      </w:r>
      <w:bookmarkEnd w:id="29"/>
      <w:r>
        <w:rPr>
          <w:rFonts w:hint="eastAsia" w:ascii="方正仿宋_GBK" w:hAnsi="方正仿宋_GBK" w:eastAsia="方正仿宋_GBK" w:cs="方正仿宋_GBK"/>
          <w:color w:val="000000" w:themeColor="text1"/>
          <w:sz w:val="28"/>
          <w:szCs w:val="28"/>
          <w14:textFill>
            <w14:solidFill>
              <w14:schemeClr w14:val="tx1"/>
            </w14:solidFill>
          </w14:textFill>
        </w:rPr>
        <w:t>及支付</w:t>
      </w:r>
    </w:p>
    <w:p>
      <w:pPr>
        <w:pStyle w:val="11"/>
        <w:spacing w:line="480" w:lineRule="exact"/>
        <w:ind w:left="105" w:leftChars="50" w:firstLine="420" w:firstLineChars="15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1.本合同在合同约定主船体工程范围内钢结构制作为： 含税单价（税率3%）：XX元/</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艘</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（大写：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元整）。按合同节点支付工程款，付款前乙方出具相应的增值税专用发票，若因乙方原因未出具发票的，甲方不承担逾期付款的责任。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本合同劳务费含放样、下料、组合、装配、焊接、校正全过程施工及划地样线、摆墩、搭建样台、雨（阳）棚、脚手架、下排换墩等辅助工作以及工人工资(生活费)、税金、环保费、意外保险费等一切费用在内。</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3.本合同工程范围内的工属具：埋弧焊机及CO2气体保护焊机（包括焊线、焊枪、气管、机头等配件）由甲方提供</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手拉葫芦、千斤顶、三角码、花篮螺栓、由甲方提供；叉车、电焊机手线（焊钳）、切割工具及皮管、磨光机、砂轮片、钢丝球（钢丝刷）、气刨枪、石笔、广告色、扫把、榔头等工属具及安全帽、安全带、手套、口罩等个人劳保用品，全部由乙方提供并承担相关费用。</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30" w:name="_Toc172015258"/>
      <w:r>
        <w:rPr>
          <w:rFonts w:hint="eastAsia" w:ascii="方正仿宋_GBK" w:hAnsi="方正仿宋_GBK" w:eastAsia="方正仿宋_GBK" w:cs="方正仿宋_GBK"/>
          <w:color w:val="000000" w:themeColor="text1"/>
          <w:sz w:val="28"/>
          <w:szCs w:val="28"/>
          <w14:textFill>
            <w14:solidFill>
              <w14:schemeClr w14:val="tx1"/>
            </w14:solidFill>
          </w14:textFill>
        </w:rPr>
        <w:t>四、工期和工程节点时间考核及费用支付</w:t>
      </w:r>
      <w:bookmarkEnd w:id="30"/>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1.本合同XX主船体分段钢结构建造时间为：从</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XXXX</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XX</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XX</w:t>
      </w:r>
      <w:r>
        <w:rPr>
          <w:rFonts w:hint="eastAsia" w:ascii="方正仿宋_GBK" w:hAnsi="方正仿宋_GBK" w:eastAsia="方正仿宋_GBK" w:cs="方正仿宋_GBK"/>
          <w:color w:val="000000" w:themeColor="text1"/>
          <w:sz w:val="28"/>
          <w:szCs w:val="28"/>
          <w14:textFill>
            <w14:solidFill>
              <w14:schemeClr w14:val="tx1"/>
            </w14:solidFill>
          </w14:textFill>
        </w:rPr>
        <w:t>日至</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XXXX</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X</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XX</w:t>
      </w:r>
      <w:r>
        <w:rPr>
          <w:rFonts w:hint="eastAsia" w:ascii="方正仿宋_GBK" w:hAnsi="方正仿宋_GBK" w:eastAsia="方正仿宋_GBK" w:cs="方正仿宋_GBK"/>
          <w:color w:val="000000" w:themeColor="text1"/>
          <w:sz w:val="28"/>
          <w:szCs w:val="28"/>
          <w14:textFill>
            <w14:solidFill>
              <w14:schemeClr w14:val="tx1"/>
            </w14:solidFill>
          </w14:textFill>
        </w:rPr>
        <w:t>日完工,后续的水下工作在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XXXX</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XX</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XX</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日前完成。 </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（1）主船体分段所有结构安装焊接交检完成，甲方向乙方支付工程劳务费，甲方向乙方支付支付第一期工程款。</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（2）主船体单个分段吊装合拢，纵骨、纵绗对接缝探伤合格，焊接完工，合拢缝焊接交检完成。甲方向乙方支付第二期工程劳务费 。</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（3）舱室水压试验交检完成，主体及上层水火校正完成并交验通过，打磨完工，舾装件按图安装焊接完校验，废铁清理完成，船舶下水，甲方向乙方支付第三期工程劳务费 。</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（4）检验出厂，无建造质量问题。甲方交船完成，甲方向乙方支付第四期工程劳务费，留5%作质保金，质保期一年。</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（5）节点如提前完成，工程款按节点提前支付。</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31" w:name="_Toc172015259"/>
      <w:r>
        <w:rPr>
          <w:rFonts w:hint="eastAsia" w:ascii="方正仿宋_GBK" w:hAnsi="方正仿宋_GBK" w:eastAsia="方正仿宋_GBK" w:cs="方正仿宋_GBK"/>
          <w:color w:val="000000" w:themeColor="text1"/>
          <w:sz w:val="28"/>
          <w:szCs w:val="28"/>
          <w14:textFill>
            <w14:solidFill>
              <w14:schemeClr w14:val="tx1"/>
            </w14:solidFill>
          </w14:textFill>
        </w:rPr>
        <w:t>五、质量要求及验收标准</w:t>
      </w:r>
      <w:bookmarkEnd w:id="31"/>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1.按建造规范和中国造船质量标准、法规及设计图纸技术要求进行检验。甲方对乙方施工全过程进行质量监控。</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2.构件下料误差小于2mm，构件安装误差小于2mm，平直度误差小于2mm，平整度误差小于3mm。</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全船舱内外所有构件下料后的减轻孔、人孔、流水孔、透气孔、切口、自由边需打磨，所有构件及板材上的焊疤打磨与母材平整，全船舱内舱外所有构件焊缝的飞溅及焊瘤打磨，外板、围壁板、甲板的焊缝打磨光顺。</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4.外观线型要流畅光顺，焊缝打磨光滑，无任何焊疤，无明显锤击凹陷、无明显凹凸变形现象。</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5.施焊严格按焊接工艺及《焊接规格表》进行，全船所有焊缝不得采用从上向下焊接，焊后必须清除药皮和焊渣。</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6.甲板变形通过施工检测未达到《中国造船质量标准》GBT34000-2016的要求，由乙方进行施工处理，处理后仍达不到标准要求部分由乙方负责进行自平流处理或换板处理，产生的费用一切由乙方承担。</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7.未经甲方现场主管同意，乙方不得擅自在各个部位上乱开工艺孔、放水孔和其它孔眼。</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8.乙方必须对施工范围内的质量进行自检并接受厂检和船检、船东监理巡查，对不合格的工程进行返工整改，并取得厂检、船检、船东监理认可后为质量合格。</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 乙方交检前船上及舱室内的废物和废料清理下船，并打扫干净，否则拒绝检验。</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32" w:name="_Toc172015260"/>
      <w:r>
        <w:rPr>
          <w:rFonts w:hint="eastAsia" w:ascii="方正仿宋_GBK" w:hAnsi="方正仿宋_GBK" w:eastAsia="方正仿宋_GBK" w:cs="方正仿宋_GBK"/>
          <w:color w:val="000000" w:themeColor="text1"/>
          <w:sz w:val="28"/>
          <w:szCs w:val="28"/>
          <w14:textFill>
            <w14:solidFill>
              <w14:schemeClr w14:val="tx1"/>
            </w14:solidFill>
          </w14:textFill>
        </w:rPr>
        <w:t>六、乙方承诺</w:t>
      </w:r>
      <w:bookmarkEnd w:id="32"/>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乙方的所有施工人员年龄必须在18周岁以上55周岁以下，身体健康，品行端正，从业人员经过必要的技能培训，开工后10天内现场施工人员不少于20人，保证各个工程节点按期完成，后续根据生产情况按需增加人员，必要时晚上加班完成，所产生的额外成本由乙方自行承担。</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2.乙方系雇佣工人的雇主，必须按相关规定为所属施工人员购买雇主责任保险，施工过程中一切安全问题由乙方自行承担，包括但不限于责任与费用。 </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3.乙方应将施工人员基本情况（姓名、性别、年龄、工种、家庭住址）和体检表（报告）、身份证复印件，提供给甲方备案；户口在外地（珍溪镇以外）人员，必须到珍溪镇派出所办理暂住证。</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乙方特殊岗位作业人员（如电焊工等）必须持有特殊行业操作证书（上岗证），无证人员不准上岗，若到岗人员无专业操作证书，或专业技术不符合本工程要求，甲方有权要求更换人员或者要求停止施工作业，因延期造成的损失由乙方自行承担。</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5.乙方人员进场后必须到甲方安全环保部办理相关手续，并严格遵守甲方的各项管理制度，注意安全防火和环境保护；如有违反，甲方有权按规定予以处罚或要求其停止施工离开厂区。</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乙方施工人员进场前需在修船部办理相关的宿舍入住手续后方可入住，必须服从甲方的安排调配，爱护宿舍设施，如损坏宿舍设施或污染环境，则需按有关规定给予赔偿。乙方人员应节约用水、用电，水、电费按每人每月约50元标准予以控制，超过部分由乙方自行承担。</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33" w:name="_Toc172015261"/>
      <w:r>
        <w:rPr>
          <w:rFonts w:hint="eastAsia" w:ascii="方正仿宋_GBK" w:hAnsi="方正仿宋_GBK" w:eastAsia="方正仿宋_GBK" w:cs="方正仿宋_GBK"/>
          <w:color w:val="000000" w:themeColor="text1"/>
          <w:sz w:val="28"/>
          <w:szCs w:val="28"/>
          <w14:textFill>
            <w14:solidFill>
              <w14:schemeClr w14:val="tx1"/>
            </w14:solidFill>
          </w14:textFill>
        </w:rPr>
        <w:t>七、材料及工属具责任承担</w:t>
      </w:r>
      <w:bookmarkEnd w:id="33"/>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1.甲方提供给乙方使用的工作电源设备、焊机、空压机和起重设备，乙方在使用过程中应妥善保管，如因操作不当造成损坏、人为损坏，遗失，乙方应以相当价值予以赔偿。</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2.乙方按甲方核定的用料标准领用材料。领取后，材料丢失、损坏、超耗，损失均由乙方承担。</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3.材料损耗量核定：焊钢比≤3%，钢板损耗≤8%，型材≤5%，管材和不锈钢管≤2%。每吨钢材加工耗用高能气1/2瓶，二氧化碳气1/2瓶，氧气3瓶。</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34" w:name="_Toc172015262"/>
      <w:r>
        <w:rPr>
          <w:rFonts w:hint="eastAsia" w:ascii="方正仿宋_GBK" w:hAnsi="方正仿宋_GBK" w:eastAsia="方正仿宋_GBK" w:cs="方正仿宋_GBK"/>
          <w:color w:val="000000" w:themeColor="text1"/>
          <w:sz w:val="28"/>
          <w:szCs w:val="28"/>
          <w14:textFill>
            <w14:solidFill>
              <w14:schemeClr w14:val="tx1"/>
            </w14:solidFill>
          </w14:textFill>
        </w:rPr>
        <w:t>八、安全管理及责任承担</w:t>
      </w:r>
      <w:bookmarkEnd w:id="34"/>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1.乙方进场前须与甲方签署重庆中江船业有限公司《外包工程项目安全管理协议》。</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2.乙方人员进场施工，必须遵守甲方安全生产规章制度，穿戴好防护用品，并严格遵守操作规程。为加强安全管理，乙方应当配备专（兼）职安全员。</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3.按照“谁施工，谁负责”的原则，乙方进场前将施工人员的身份信息提交给甲方安全环保部，后续新进工人来一个就及时上报。如未上报，造成脱保赔偿事件，由乙方自行负责赔偿及承担相关法律责任。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4.乙方人员如发生事故，24小时内立即上报甲方安全环保部。如未在24小时内上报，由乙方负责解决、处理并承担经济和法律责任。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35" w:name="_Toc172015263"/>
      <w:r>
        <w:rPr>
          <w:rFonts w:hint="eastAsia" w:ascii="方正仿宋_GBK" w:hAnsi="方正仿宋_GBK" w:eastAsia="方正仿宋_GBK" w:cs="方正仿宋_GBK"/>
          <w:color w:val="000000" w:themeColor="text1"/>
          <w:sz w:val="28"/>
          <w:szCs w:val="28"/>
          <w14:textFill>
            <w14:solidFill>
              <w14:schemeClr w14:val="tx1"/>
            </w14:solidFill>
          </w14:textFill>
        </w:rPr>
        <w:t>九、双方权利、义务</w:t>
      </w:r>
      <w:bookmarkEnd w:id="35"/>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除本合同另有约定外，双方按以下约定享有权利和履行义务</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1、甲方权利、义务</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（1）及时提供工程需要的各类图纸、材料、辅料、工具。</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（2）甲方提供现有加工设备及起吊设备配合乙方施工。</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（3）按合同约定支付乙方工程项目劳务费。</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（4）甲方有权对工程项目进行监督和验收，对不合格的工程项目，有权力要求其停止施工，直至返工完成，验收合格，因返工产生的费用从乙方劳务费中扣出。</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（5）指定乙方的施工场地及工位。</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2、乙方权利、义务</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（1）乙方按照甲方提供的图纸和资料，根据合同约定的进度和质量要求，合理组织施工人员施工，对工程质量和进度负责。</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（2）乙方应加强施工人员管理，配备必要的劳保防护用品，防暑降温药品，教育、督促施工人员严格遵守操作规程和各项管理制度，确保安全生产，对承揽工程项目安全负责。               </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（3）船舶建造中的材料转运、分段吊运及搭棚、搭架等工作由乙方负责（甲方提供必要的材料、大重件吊车协助）。</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（4）乙方现场负责人需按时参加甲方组织的生产调度会，安全环保会，并按要求合理安排工作，确保生产计划完成。</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（5）乙方发现甲方提供的图纸或资料有误，应当及时通知甲方。</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（6）乙方施工期间，应当接受甲方必要的监督、检验。</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（7）乙方施工期间，产生的废铁、垃圾等必须每天清理下船至甲方指定位置，且将船台施工区域清洁干净。</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（8）要求甲方支付相应的工程项目劳务款项。</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（9）乙方履行本合同期间，造成乙方雇佣人员、承包商、甲方、第三方人身或者财产损失的，由乙方承担，甲方因此受到索赔的，有权向乙方进行追索。</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36" w:name="_Toc172015264"/>
      <w:r>
        <w:rPr>
          <w:rFonts w:hint="eastAsia" w:ascii="方正仿宋_GBK" w:hAnsi="方正仿宋_GBK" w:eastAsia="方正仿宋_GBK" w:cs="方正仿宋_GBK"/>
          <w:color w:val="000000" w:themeColor="text1"/>
          <w:sz w:val="28"/>
          <w:szCs w:val="28"/>
          <w14:textFill>
            <w14:solidFill>
              <w14:schemeClr w14:val="tx1"/>
            </w14:solidFill>
          </w14:textFill>
        </w:rPr>
        <w:t>十、特别约定</w:t>
      </w:r>
      <w:bookmarkEnd w:id="36"/>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1.工程质保金按本合同单个分段金额的5%在最后一期中扣除,工程完工交付船东一年后，无质量问题甲方支付质保金。</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2.乙方按照合同总金额的5%缴纳履约保证金给甲方，在第一期工程款中扣除，船舶下水后无息返还给乙方。</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3.乙方在施工过程中造成设备损坏、材料浪费（报废）或发生质量损失，乙方应承担赔偿责任。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4.乙方未按甲方提供的图纸、相关技术标准、施工工艺、主管指定用料安排施工，每发现一次，乙方支付甲方违约金200元。</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5.乙方未按期完成船舶建造工程（除配合装饰安装、油漆涂装之外），除履约保证金不退还之外，且每延后一天，乙方支付甲方违约金300元。累计计算。</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乙方施工区域的灰渣、废铁应进行阶段性清理，纸壳、废铁、杂物要分类堆放到公司指定位置，施工中保持环境整洁、道路畅通，船舶完工后应将船台区域清洁干净，如乙方违约，每发现一次处罚300元，并按国家环保相关规定进行处罚和追责。</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7.乙方必须按甲方船舶建造工程节点计划要求执行，不得擅自变更工程节点计划。除因甲方未及时提供施工图纸、材料、场地等原因影响工期相应顺延，并按顺延后的工期计算。</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乙方应当按月发放员工工资，不得拖欠民工工资。乙方向甲方申请支付每一期工程款时，必须提供员工工资发放表。如乙方拖欠员工工资，甲方有权从应付劳务费中直接支付给施工人员。甲方直接支付工资的行为不视为甲方与乙方雇佣人员之间形成雇佣或者劳动关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9.甲方购买的雇主责任险作为乙方的辅助保险，保险公司赔付后，差额部分由乙方自行解决，乙方按时将增减人员及时上报甲方安全环保部，造成脱保赔偿事件，由乙方自行负责赔偿及承担相关法律责任。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37" w:name="_Toc172015265"/>
      <w:r>
        <w:rPr>
          <w:rFonts w:hint="eastAsia" w:ascii="方正仿宋_GBK" w:hAnsi="方正仿宋_GBK" w:eastAsia="方正仿宋_GBK" w:cs="方正仿宋_GBK"/>
          <w:color w:val="000000" w:themeColor="text1"/>
          <w:sz w:val="28"/>
          <w:szCs w:val="28"/>
          <w14:textFill>
            <w14:solidFill>
              <w14:schemeClr w14:val="tx1"/>
            </w14:solidFill>
          </w14:textFill>
        </w:rPr>
        <w:t>十一、违约责任</w:t>
      </w:r>
      <w:bookmarkEnd w:id="37"/>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1.甲乙双方若未按照本合同约定条款执行造成违约的，违约方应向对方承担违约责任。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2.乙方未能保证足够施工人员，严重拖延工期，造成计划节点不能够按期完成，或者出现严重质量或安全事故，甲方有权解除合同，并追究乙方违约责任，乙方须向甲方支付不低于合同总价20%的违约金。</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3.乙方单方面解除建造劳务合同，乙方须向甲方支付不低于合同总价20%的违约金，违约金不足以弥补给甲方造成的损失的，乙方将承担全部赔偿责任。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38" w:name="_Toc172015266"/>
      <w:r>
        <w:rPr>
          <w:rFonts w:hint="eastAsia" w:ascii="方正仿宋_GBK" w:hAnsi="方正仿宋_GBK" w:eastAsia="方正仿宋_GBK" w:cs="方正仿宋_GBK"/>
          <w:color w:val="000000" w:themeColor="text1"/>
          <w:sz w:val="28"/>
          <w:szCs w:val="28"/>
          <w14:textFill>
            <w14:solidFill>
              <w14:schemeClr w14:val="tx1"/>
            </w14:solidFill>
          </w14:textFill>
        </w:rPr>
        <w:t>十二、其他</w:t>
      </w:r>
      <w:bookmarkEnd w:id="38"/>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1.本协议一式肆份，甲方叁份，乙方壹份，经双方签字盖章后生效，具有同等法律效力。</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2.未尽事宜，双方友好协商解决。协商不成，向重庆市涪陵区人民法院提起诉讼。</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3.本合同各项条款履行完毕，合同自然失效。</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39" w:name="_Toc172015267"/>
      <w:r>
        <w:rPr>
          <w:rFonts w:hint="eastAsia" w:ascii="方正仿宋_GBK" w:hAnsi="方正仿宋_GBK" w:eastAsia="方正仿宋_GBK" w:cs="方正仿宋_GBK"/>
          <w:color w:val="000000" w:themeColor="text1"/>
          <w:sz w:val="28"/>
          <w:szCs w:val="28"/>
          <w14:textFill>
            <w14:solidFill>
              <w14:schemeClr w14:val="tx1"/>
            </w14:solidFill>
          </w14:textFill>
        </w:rPr>
        <w:t>十三、合同附件</w:t>
      </w:r>
      <w:bookmarkEnd w:id="39"/>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合同附件一：建造工程施工界面</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合同附件二：保险承诺书</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合同附件三：雇主责任保险管理制度（试行）知晓承诺书</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合同附件四：人员使用承诺书</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合同附件五：外包工程项目安全管理协议</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合同附件六：外包工程项目职业卫生安全管理协议</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合同附件七：外包工程廉政协议</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（以下无正文）</w:t>
      </w:r>
    </w:p>
    <w:p>
      <w:pPr>
        <w:pStyle w:val="11"/>
        <w:spacing w:line="480" w:lineRule="exact"/>
        <w:ind w:firstLine="0" w:firstLineChars="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甲方：重庆中江船业有限公司           乙方： XX钢结构有限公司</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代表：                               代表：</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联系电话：                           联系电话： </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年 月 日                       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年 月  日</w:t>
      </w:r>
    </w:p>
    <w:p>
      <w:pPr>
        <w:pStyle w:val="11"/>
        <w:spacing w:line="48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p>
    <w:p>
      <w:pPr>
        <w:pStyle w:val="11"/>
        <w:spacing w:line="480" w:lineRule="exact"/>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40" w:name="_Toc172015268"/>
    </w:p>
    <w:p>
      <w:pPr>
        <w:pStyle w:val="11"/>
        <w:spacing w:line="48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合同附件一</w:t>
      </w:r>
    </w:p>
    <w:p>
      <w:pPr>
        <w:pStyle w:val="11"/>
        <w:spacing w:line="480" w:lineRule="exact"/>
        <w:ind w:firstLine="3640" w:firstLineChars="13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建造工程施工界面</w:t>
      </w:r>
      <w:bookmarkEnd w:id="40"/>
    </w:p>
    <w:p>
      <w:pPr>
        <w:jc w:val="left"/>
        <w:rPr>
          <w:rFonts w:hint="eastAsia" w:ascii="方正仿宋_GBK" w:hAnsi="方正仿宋_GBK" w:eastAsia="方正仿宋_GBK" w:cs="方正仿宋_GBK"/>
          <w:kern w:val="0"/>
          <w:sz w:val="28"/>
          <w:szCs w:val="28"/>
        </w:rPr>
      </w:pP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（1）</w:t>
      </w:r>
      <w:r>
        <w:rPr>
          <w:rFonts w:hint="eastAsia" w:ascii="方正仿宋_GBK" w:hAnsi="方正仿宋_GBK" w:eastAsia="方正仿宋_GBK" w:cs="方正仿宋_GBK"/>
          <w:sz w:val="28"/>
          <w:szCs w:val="28"/>
        </w:rPr>
        <w:t>钢结构放样、划线、下料、组合、装配、焊接、校正、打磨全过程施工及划地样线、摆墩、搭建样台、雨（阳）棚、脚手架、下排换墩等辅助工作并提交检验合格。</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（2）护舷材安装，各舱室人孔盖安装及主机座、发电机座的安装焊接。</w:t>
      </w:r>
    </w:p>
    <w:p>
      <w:pPr>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（3）全船门、窗船体开口校平，</w:t>
      </w:r>
      <w:r>
        <w:rPr>
          <w:rFonts w:hint="eastAsia" w:ascii="方正仿宋_GBK" w:hAnsi="方正仿宋_GBK" w:eastAsia="方正仿宋_GBK" w:cs="方正仿宋_GBK"/>
          <w:kern w:val="0"/>
          <w:sz w:val="28"/>
          <w:szCs w:val="28"/>
        </w:rPr>
        <w:t>全船舱内外所有构件板材上的焊疤打磨与母材平整，全船外板、围壁板、甲板的焊缝打磨光顺。</w:t>
      </w:r>
    </w:p>
    <w:p>
      <w:pPr>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（4）合拢缝焊接及打磨。</w:t>
      </w:r>
    </w:p>
    <w:p>
      <w:pPr>
        <w:jc w:val="left"/>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kern w:val="0"/>
          <w:sz w:val="28"/>
          <w:szCs w:val="28"/>
        </w:rPr>
        <w:t>（5）</w:t>
      </w:r>
      <w:r>
        <w:rPr>
          <w:rFonts w:hint="eastAsia" w:ascii="方正仿宋_GBK" w:hAnsi="方正仿宋_GBK" w:eastAsia="方正仿宋_GBK" w:cs="方正仿宋_GBK"/>
          <w:color w:val="000000" w:themeColor="text1"/>
          <w:sz w:val="28"/>
          <w:szCs w:val="28"/>
          <w14:textFill>
            <w14:solidFill>
              <w14:schemeClr w14:val="tx1"/>
            </w14:solidFill>
          </w14:textFill>
        </w:rPr>
        <w:t>舾装件预制安装及焊接：舾装件安装（含主辅机座、艉绞机座、锚机座、带缆桩预制及安装、锚链筒及锚穴安装、艏艉桅杆预制及定位、舱室及上层直梯及斜梯预制及安装焊接、靠把底座的预制安装及焊接，靠把捆扎、舱室花钢板铺设（包括机舱</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、侧推舱</w:t>
      </w:r>
      <w:r>
        <w:rPr>
          <w:rFonts w:hint="eastAsia" w:ascii="方正仿宋_GBK" w:hAnsi="方正仿宋_GBK" w:eastAsia="方正仿宋_GBK" w:cs="方正仿宋_GBK"/>
          <w:color w:val="000000" w:themeColor="text1"/>
          <w:sz w:val="28"/>
          <w:szCs w:val="28"/>
          <w14:textFill>
            <w14:solidFill>
              <w14:schemeClr w14:val="tx1"/>
            </w14:solidFill>
          </w14:textFill>
        </w:rPr>
        <w:t>）、钢质门、防火门、集控室隔音门窗的安装、导缆孔及舷窗安装；消防砂箱，灭火机座、救生圈架、船名灯箱、船名、船籍港、水尺勘画及制作、钢质消防水龙带箱等的制作及定位安装；全船除装饰外的栏杆制作安装）</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等于大于1.5m</w:t>
      </w:r>
      <w:r>
        <w:rPr>
          <w:rFonts w:hint="eastAsia" w:ascii="方正仿宋_GBK" w:hAnsi="方正仿宋_GBK" w:eastAsia="方正仿宋_GBK" w:cs="方正仿宋_GBK"/>
          <w:color w:val="000000" w:themeColor="text1"/>
          <w:sz w:val="28"/>
          <w:szCs w:val="28"/>
          <w:vertAlign w:val="superscript"/>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箱柜制作,等于或大于300kg以上的轮机设备底座（含泵）的制作及焊接</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锚机、艉绞、舵机等设备腹板焊接。</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）舱室密性及水压试验,船体探伤拍片。</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）配合油漆涂装、隔热搭跳架等。</w:t>
      </w:r>
    </w:p>
    <w:p>
      <w:pPr>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）船体施工中的需要的工艺孔开设及还原。</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）油漆涂装密闭舱室需要的工艺孔开设及还原。</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0</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生活</w:t>
      </w:r>
      <w:r>
        <w:rPr>
          <w:rFonts w:hint="eastAsia" w:ascii="方正仿宋_GBK" w:hAnsi="方正仿宋_GBK" w:eastAsia="方正仿宋_GBK" w:cs="方正仿宋_GBK"/>
          <w:sz w:val="28"/>
          <w:szCs w:val="28"/>
        </w:rPr>
        <w:t>艇底座结构加强安装焊接。</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 xml:space="preserve">  </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甲方：重庆中江船业有限公司             乙方：XX钢结构有限公司</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代表：                                 代表：</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11"/>
        <w:spacing w:line="48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年 月 日                     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年 月 日</w:t>
      </w:r>
      <w:r>
        <w:rPr>
          <w:rFonts w:hint="eastAsia" w:ascii="方正仿宋_GBK" w:hAnsi="方正仿宋_GBK" w:eastAsia="方正仿宋_GBK" w:cs="方正仿宋_GBK"/>
          <w:color w:val="000000" w:themeColor="text1"/>
          <w:sz w:val="28"/>
          <w:szCs w:val="28"/>
          <w14:textFill>
            <w14:solidFill>
              <w14:schemeClr w14:val="tx1"/>
            </w14:solidFill>
          </w14:textFill>
        </w:rPr>
        <w:br w:type="page"/>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41" w:name="_Toc172015269"/>
      <w:r>
        <w:rPr>
          <w:rFonts w:hint="eastAsia" w:ascii="方正仿宋_GBK" w:hAnsi="方正仿宋_GBK" w:eastAsia="方正仿宋_GBK" w:cs="方正仿宋_GBK"/>
          <w:color w:val="000000" w:themeColor="text1"/>
          <w:sz w:val="28"/>
          <w:szCs w:val="28"/>
          <w14:textFill>
            <w14:solidFill>
              <w14:schemeClr w14:val="tx1"/>
            </w14:solidFill>
          </w14:textFill>
        </w:rPr>
        <w:t>合同附件二</w:t>
      </w:r>
    </w:p>
    <w:p>
      <w:pPr>
        <w:pStyle w:val="11"/>
        <w:spacing w:line="480" w:lineRule="exact"/>
        <w:ind w:firstLine="2240" w:firstLineChars="700"/>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雇主责任保险管理制度（试行）知晓承诺书</w:t>
      </w:r>
      <w:bookmarkEnd w:id="41"/>
    </w:p>
    <w:p>
      <w:pPr>
        <w:pStyle w:val="11"/>
        <w:spacing w:line="480" w:lineRule="exact"/>
        <w:ind w:firstLine="3200" w:firstLineChars="1000"/>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雇主责任保险管理制度（试行）</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第一条  安全环保部是保险管理的归口部门，落实专人负责保险相关事宜。</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第二条  施工单位新进员工必须经安全教育培训考试合格后方可上岗作业。</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第三条  施工单位承包建造工程项目入场前，必须将单位资质、现有员工信息花名册、联系方式、工种、特殊工种操作证等复印件交安全环保部存档备案。增减人员必须第一时间上报安全环保部，保险生效（购买24小时后）才能上岗作业。</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第四条  在生产过程中发生微、轻、重等各类伤害事故，应立即上报安全环保部进行事故现场确认（30分钟以内），不得破坏事故现场，便于联系保险公司对事故现场进行事故确认并取证留底，并积极配合安全环保部进行事故调查；如超过24小时未上报保险公司造成脱保现象，由施工单位自行负责。</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第五条  施工单位与员工签订用工协议，工资花名册复印件（每月）交安全环保部。</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第六条  施工单位新进员工未经安全教育培训、未上报保险信息造成保险漏保现象，由施工单位全权承担经济赔偿及法律责任。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第七条  施工单位员工发生工伤，重庆中江船业有限公司只承担雇主责任保险赔付部分，赔付不足差额部分及法律责任由施工单位自行负责。</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第八条  施工单位加强员工保险管理，瞒报、谎报（如骗保）造成的一切后果和法律责任由施工单位自行负责。</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第九条  被保险人的故意行为、重大过失行为、特殊岗位无证操作、无证操作特种设备、罚款、精神损害、与工作无关行为造成伤害，以及雇主责任保险条款规定的责任免除条款（包含职业病），不在雇主责任保险范围内，不负责赔偿。</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第十条  乙方不得使用65岁以上（含65岁）的员工，如乙方用65岁以上（含65岁）的员工发生一切事故，由乙方负责解决、处理并承担经济和法律责任。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承诺单位：</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XXXXX</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结构有限公司  </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承诺责任人（签字盖章）：</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XX</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XX</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XX</w:t>
      </w:r>
      <w:r>
        <w:rPr>
          <w:rFonts w:hint="eastAsia" w:ascii="方正仿宋_GBK" w:hAnsi="方正仿宋_GBK" w:eastAsia="方正仿宋_GBK" w:cs="方正仿宋_GBK"/>
          <w:color w:val="000000" w:themeColor="text1"/>
          <w:sz w:val="28"/>
          <w:szCs w:val="28"/>
          <w14:textFill>
            <w14:solidFill>
              <w14:schemeClr w14:val="tx1"/>
            </w14:solidFill>
          </w14:textFill>
        </w:rPr>
        <w:t>日</w:t>
      </w:r>
    </w:p>
    <w:p>
      <w:pPr>
        <w:rPr>
          <w:rFonts w:hint="eastAsia"/>
        </w:rPr>
      </w:pP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42" w:name="_Toc172015272"/>
      <w:r>
        <w:rPr>
          <w:rFonts w:hint="eastAsia" w:ascii="方正仿宋_GBK" w:hAnsi="方正仿宋_GBK" w:eastAsia="方正仿宋_GBK" w:cs="方正仿宋_GBK"/>
          <w:color w:val="000000" w:themeColor="text1"/>
          <w:sz w:val="28"/>
          <w:szCs w:val="28"/>
          <w14:textFill>
            <w14:solidFill>
              <w14:schemeClr w14:val="tx1"/>
            </w14:solidFill>
          </w14:textFill>
        </w:rPr>
        <w:t>合同附件三</w:t>
      </w:r>
    </w:p>
    <w:p>
      <w:pPr>
        <w:pStyle w:val="11"/>
        <w:spacing w:line="480" w:lineRule="exact"/>
        <w:ind w:firstLine="4480" w:firstLineChars="1400"/>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保险承诺书</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致：重庆中江船业有限公司：</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本公司承诺，自愿执行《重庆中江船业有限公司雇主责任保险管理制度（试行）》。</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入场员工必须先进行安全教育培训（考试结果合格）、上报保险生效后才能安排员工上岗作业，若违反《重庆中江船业有限公司雇主责任保险管理制度（试行）》及其他约定造成人员漏保、脱保现象，引起的经济纠纷和法律责任由我公司全权负责，与重庆中江船业有限公司无关。</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我公司必须按相关规定为所属人员购买保险，且购买保险的保险公司与重庆中江船业有限公司不能是同一家保险公司，重庆中江船业有限公司购买的雇主责任保险仅作为我公司所属人员的辅助保险。</w:t>
      </w:r>
    </w:p>
    <w:p>
      <w:pPr>
        <w:pStyle w:val="11"/>
        <w:spacing w:line="480" w:lineRule="exact"/>
        <w:ind w:firstLine="4760" w:firstLineChars="17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承诺单位：XX钢结构有限公司  </w:t>
      </w:r>
    </w:p>
    <w:p>
      <w:pPr>
        <w:pStyle w:val="11"/>
        <w:spacing w:line="480" w:lineRule="exact"/>
        <w:ind w:firstLine="4760" w:firstLineChars="17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承诺责任人（签字盖章）：</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年 月 日</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合同附件四</w:t>
      </w:r>
    </w:p>
    <w:p>
      <w:pPr>
        <w:pStyle w:val="11"/>
        <w:spacing w:line="480" w:lineRule="exact"/>
        <w:ind w:firstLine="3520" w:firstLineChars="1100"/>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人员使用承诺书</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重庆中江船业有限公司：</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本人         ，身份证号                 ，系                      （单位）主要负责人，本人郑重承诺：在承包“</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130mLNG单燃料集散货船</w:t>
      </w:r>
      <w:r>
        <w:rPr>
          <w:rFonts w:hint="eastAsia" w:ascii="方正仿宋_GBK" w:hAnsi="方正仿宋_GBK" w:eastAsia="方正仿宋_GBK" w:cs="方正仿宋_GBK"/>
          <w:color w:val="000000" w:themeColor="text1"/>
          <w:sz w:val="28"/>
          <w:szCs w:val="28"/>
          <w14:textFill>
            <w14:solidFill>
              <w14:schemeClr w14:val="tx1"/>
            </w14:solidFill>
          </w14:textFill>
        </w:rPr>
        <w:t>”                           船体建造</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劳务施工过程中，本施工队不得恶意挖取贵公司在建船舶其他施工队工作人员（公司完工船舶人员除外），一经发现愿意承担2000元的罚款。</w:t>
      </w:r>
    </w:p>
    <w:p>
      <w:pPr>
        <w:pStyle w:val="11"/>
        <w:spacing w:line="480" w:lineRule="exact"/>
        <w:ind w:firstLine="4760" w:firstLineChars="17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承诺单位：XX钢结构有限公司  </w:t>
      </w:r>
    </w:p>
    <w:p>
      <w:pPr>
        <w:pStyle w:val="11"/>
        <w:spacing w:line="480" w:lineRule="exact"/>
        <w:ind w:firstLine="4760" w:firstLineChars="17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单位负责人：（签字盖章）：</w:t>
      </w:r>
    </w:p>
    <w:p>
      <w:pPr>
        <w:pStyle w:val="11"/>
        <w:spacing w:line="480" w:lineRule="exact"/>
        <w:ind w:firstLine="5600" w:firstLineChars="20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年 月 日</w:t>
      </w:r>
    </w:p>
    <w:p>
      <w:pPr>
        <w:pStyle w:val="11"/>
        <w:spacing w:line="480" w:lineRule="exact"/>
        <w:ind w:firstLine="560" w:firstLineChars="200"/>
        <w:rPr>
          <w:rFonts w:hint="eastAsia" w:asciiTheme="majorEastAsia" w:hAnsiTheme="majorEastAsia" w:eastAsiaTheme="majorEastAsia"/>
          <w:color w:val="000000" w:themeColor="text1"/>
          <w:sz w:val="28"/>
          <w:szCs w:val="28"/>
          <w14:textFill>
            <w14:solidFill>
              <w14:schemeClr w14:val="tx1"/>
            </w14:solidFill>
          </w14:textFill>
        </w:rPr>
      </w:pPr>
    </w:p>
    <w:p>
      <w:pPr>
        <w:pStyle w:val="11"/>
        <w:spacing w:line="480" w:lineRule="exact"/>
        <w:ind w:firstLine="560" w:firstLineChars="200"/>
        <w:rPr>
          <w:rFonts w:hint="eastAsia" w:asciiTheme="majorEastAsia" w:hAnsiTheme="majorEastAsia" w:eastAsiaTheme="majorEastAsia"/>
          <w:color w:val="000000" w:themeColor="text1"/>
          <w:sz w:val="28"/>
          <w:szCs w:val="28"/>
          <w14:textFill>
            <w14:solidFill>
              <w14:schemeClr w14:val="tx1"/>
            </w14:solidFill>
          </w14:textFill>
        </w:rPr>
      </w:pPr>
    </w:p>
    <w:p>
      <w:pPr>
        <w:pStyle w:val="11"/>
        <w:spacing w:line="480" w:lineRule="exact"/>
        <w:ind w:firstLine="560" w:firstLineChars="200"/>
        <w:rPr>
          <w:rFonts w:hint="eastAsia" w:asciiTheme="majorEastAsia" w:hAnsiTheme="majorEastAsia" w:eastAsiaTheme="majorEastAsia"/>
          <w:color w:val="000000" w:themeColor="text1"/>
          <w:sz w:val="28"/>
          <w:szCs w:val="28"/>
          <w14:textFill>
            <w14:solidFill>
              <w14:schemeClr w14:val="tx1"/>
            </w14:solidFill>
          </w14:textFill>
        </w:rPr>
      </w:pPr>
    </w:p>
    <w:p>
      <w:pPr>
        <w:pStyle w:val="11"/>
        <w:spacing w:line="480" w:lineRule="exact"/>
        <w:ind w:firstLine="560" w:firstLineChars="200"/>
        <w:rPr>
          <w:rFonts w:hint="eastAsia" w:asciiTheme="majorEastAsia" w:hAnsiTheme="majorEastAsia" w:eastAsiaTheme="majorEastAsia"/>
          <w:color w:val="000000" w:themeColor="text1"/>
          <w:sz w:val="28"/>
          <w:szCs w:val="28"/>
          <w14:textFill>
            <w14:solidFill>
              <w14:schemeClr w14:val="tx1"/>
            </w14:solidFill>
          </w14:textFill>
        </w:rPr>
      </w:pPr>
    </w:p>
    <w:p>
      <w:pPr>
        <w:pStyle w:val="11"/>
        <w:spacing w:line="480" w:lineRule="exact"/>
        <w:ind w:left="0" w:leftChars="0" w:firstLine="0" w:firstLineChars="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合同附件五</w:t>
      </w:r>
    </w:p>
    <w:p>
      <w:pPr>
        <w:pStyle w:val="11"/>
        <w:spacing w:line="480" w:lineRule="exact"/>
        <w:ind w:firstLine="2560" w:firstLineChars="800"/>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外包工程项目安全管理协议</w:t>
      </w:r>
      <w:bookmarkEnd w:id="42"/>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甲方（工程发包方）：重庆中江船业有限公司</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乙方（工程承包方）：XX钢结构有限司</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工程名称：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130mLNG单燃料集散货船</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为贯彻“安全第一、预防为主、综合治理”的安全生产方针，根据安全生产法等法律法规规定，明确双方的安全生产责任，确保施工安全，双方在签订工程合同时，同时签订本协议。</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一、甲乙双方协同配合管理责任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43" w:name="bookmark10"/>
      <w:r>
        <w:rPr>
          <w:rFonts w:hint="eastAsia" w:ascii="方正仿宋_GBK" w:hAnsi="方正仿宋_GBK" w:eastAsia="方正仿宋_GBK" w:cs="方正仿宋_GBK"/>
          <w:color w:val="000000" w:themeColor="text1"/>
          <w:sz w:val="28"/>
          <w:szCs w:val="28"/>
          <w14:textFill>
            <w14:solidFill>
              <w14:schemeClr w14:val="tx1"/>
            </w14:solidFill>
          </w14:textFill>
        </w:rPr>
        <w:t>1</w:t>
      </w:r>
      <w:bookmarkEnd w:id="43"/>
      <w:r>
        <w:rPr>
          <w:rFonts w:hint="eastAsia" w:ascii="方正仿宋_GBK" w:hAnsi="方正仿宋_GBK" w:eastAsia="方正仿宋_GBK" w:cs="方正仿宋_GBK"/>
          <w:color w:val="000000" w:themeColor="text1"/>
          <w:sz w:val="28"/>
          <w:szCs w:val="28"/>
          <w14:textFill>
            <w14:solidFill>
              <w14:schemeClr w14:val="tx1"/>
            </w14:solidFill>
          </w14:textFill>
        </w:rPr>
        <w:t>、甲、乙双方必须严格执行有关安全生产法律、法规、规章、强制标准和安全操作规程及施工安全管理规定。</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44" w:name="bookmark11"/>
      <w:r>
        <w:rPr>
          <w:rFonts w:hint="eastAsia" w:ascii="方正仿宋_GBK" w:hAnsi="方正仿宋_GBK" w:eastAsia="方正仿宋_GBK" w:cs="方正仿宋_GBK"/>
          <w:color w:val="000000" w:themeColor="text1"/>
          <w:sz w:val="28"/>
          <w:szCs w:val="28"/>
          <w14:textFill>
            <w14:solidFill>
              <w14:schemeClr w14:val="tx1"/>
            </w14:solidFill>
          </w14:textFill>
        </w:rPr>
        <w:t>2</w:t>
      </w:r>
      <w:bookmarkEnd w:id="44"/>
      <w:r>
        <w:rPr>
          <w:rFonts w:hint="eastAsia" w:ascii="方正仿宋_GBK" w:hAnsi="方正仿宋_GBK" w:eastAsia="方正仿宋_GBK" w:cs="方正仿宋_GBK"/>
          <w:color w:val="000000" w:themeColor="text1"/>
          <w:sz w:val="28"/>
          <w:szCs w:val="28"/>
          <w14:textFill>
            <w14:solidFill>
              <w14:schemeClr w14:val="tx1"/>
            </w14:solidFill>
          </w14:textFill>
        </w:rPr>
        <w:t>、甲、乙双方都应建立安全管理规章制度，乙方必须配备现场专职（或兼职）安全员。施工期间，负责本工程项目的日常安全生产（包括消防、环保）等管理工作。</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45" w:name="bookmark12"/>
      <w:r>
        <w:rPr>
          <w:rFonts w:hint="eastAsia" w:ascii="方正仿宋_GBK" w:hAnsi="方正仿宋_GBK" w:eastAsia="方正仿宋_GBK" w:cs="方正仿宋_GBK"/>
          <w:color w:val="000000" w:themeColor="text1"/>
          <w:sz w:val="28"/>
          <w:szCs w:val="28"/>
          <w14:textFill>
            <w14:solidFill>
              <w14:schemeClr w14:val="tx1"/>
            </w14:solidFill>
          </w14:textFill>
        </w:rPr>
        <w:t>3</w:t>
      </w:r>
      <w:bookmarkEnd w:id="45"/>
      <w:r>
        <w:rPr>
          <w:rFonts w:hint="eastAsia" w:ascii="方正仿宋_GBK" w:hAnsi="方正仿宋_GBK" w:eastAsia="方正仿宋_GBK" w:cs="方正仿宋_GBK"/>
          <w:color w:val="000000" w:themeColor="text1"/>
          <w:sz w:val="28"/>
          <w:szCs w:val="28"/>
          <w14:textFill>
            <w14:solidFill>
              <w14:schemeClr w14:val="tx1"/>
            </w14:solidFill>
          </w14:textFill>
        </w:rPr>
        <w:t>、甲、乙双方在施工前要认真勘察施工现场，甲方对乙方负责人和工程技术人员根据工程项目内容、特点进行全面的安全技术交底。乙方应详细了解工程项目的作业环境、施工日期、各类安全措施情况及安全注意事项后，拟订施工计划和施工安全技术措施，并严格执行。</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46" w:name="bookmark13"/>
      <w:r>
        <w:rPr>
          <w:rFonts w:hint="eastAsia" w:ascii="方正仿宋_GBK" w:hAnsi="方正仿宋_GBK" w:eastAsia="方正仿宋_GBK" w:cs="方正仿宋_GBK"/>
          <w:color w:val="000000" w:themeColor="text1"/>
          <w:sz w:val="28"/>
          <w:szCs w:val="28"/>
          <w14:textFill>
            <w14:solidFill>
              <w14:schemeClr w14:val="tx1"/>
            </w14:solidFill>
          </w14:textFill>
        </w:rPr>
        <w:t>4</w:t>
      </w:r>
      <w:bookmarkEnd w:id="46"/>
      <w:r>
        <w:rPr>
          <w:rFonts w:hint="eastAsia" w:ascii="方正仿宋_GBK" w:hAnsi="方正仿宋_GBK" w:eastAsia="方正仿宋_GBK" w:cs="方正仿宋_GBK"/>
          <w:color w:val="000000" w:themeColor="text1"/>
          <w:sz w:val="28"/>
          <w:szCs w:val="28"/>
          <w14:textFill>
            <w14:solidFill>
              <w14:schemeClr w14:val="tx1"/>
            </w14:solidFill>
          </w14:textFill>
        </w:rPr>
        <w:t>、在甲方的同一区域内有二个及以上的施工队伍进行交叉作业时，甲方负有统一协调管理责任。乙方应当对施工现场采取必要的安全防护措施，设置醒目的安全警示标志，以防闲杂人员进入。</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47" w:name="bookmark14"/>
      <w:r>
        <w:rPr>
          <w:rFonts w:hint="eastAsia" w:ascii="方正仿宋_GBK" w:hAnsi="方正仿宋_GBK" w:eastAsia="方正仿宋_GBK" w:cs="方正仿宋_GBK"/>
          <w:color w:val="000000" w:themeColor="text1"/>
          <w:sz w:val="28"/>
          <w:szCs w:val="28"/>
          <w14:textFill>
            <w14:solidFill>
              <w14:schemeClr w14:val="tx1"/>
            </w14:solidFill>
          </w14:textFill>
        </w:rPr>
        <w:t>5</w:t>
      </w:r>
      <w:bookmarkEnd w:id="47"/>
      <w:r>
        <w:rPr>
          <w:rFonts w:hint="eastAsia" w:ascii="方正仿宋_GBK" w:hAnsi="方正仿宋_GBK" w:eastAsia="方正仿宋_GBK" w:cs="方正仿宋_GBK"/>
          <w:color w:val="000000" w:themeColor="text1"/>
          <w:sz w:val="28"/>
          <w:szCs w:val="28"/>
          <w14:textFill>
            <w14:solidFill>
              <w14:schemeClr w14:val="tx1"/>
            </w14:solidFill>
          </w14:textFill>
        </w:rPr>
        <w:t>、甲、乙双方必须认真对本单位员工进行安全生产制度及安全技术知识教育，增强员工法制观念，提高员工安全生产意识和自我保护技能，督促员工自觉遵守安全生产法规、纪律、制度。</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48" w:name="bookmark15"/>
      <w:r>
        <w:rPr>
          <w:rFonts w:hint="eastAsia" w:ascii="方正仿宋_GBK" w:hAnsi="方正仿宋_GBK" w:eastAsia="方正仿宋_GBK" w:cs="方正仿宋_GBK"/>
          <w:color w:val="000000" w:themeColor="text1"/>
          <w:sz w:val="28"/>
          <w:szCs w:val="28"/>
          <w14:textFill>
            <w14:solidFill>
              <w14:schemeClr w14:val="tx1"/>
            </w14:solidFill>
          </w14:textFill>
        </w:rPr>
        <w:t>6</w:t>
      </w:r>
      <w:bookmarkEnd w:id="48"/>
      <w:r>
        <w:rPr>
          <w:rFonts w:hint="eastAsia" w:ascii="方正仿宋_GBK" w:hAnsi="方正仿宋_GBK" w:eastAsia="方正仿宋_GBK" w:cs="方正仿宋_GBK"/>
          <w:color w:val="000000" w:themeColor="text1"/>
          <w:sz w:val="28"/>
          <w:szCs w:val="28"/>
          <w14:textFill>
            <w14:solidFill>
              <w14:schemeClr w14:val="tx1"/>
            </w14:solidFill>
          </w14:textFill>
        </w:rPr>
        <w:t>、</w:t>
      </w:r>
      <w:bookmarkStart w:id="49" w:name="bookmark16"/>
      <w:r>
        <w:rPr>
          <w:rFonts w:hint="eastAsia" w:ascii="方正仿宋_GBK" w:hAnsi="方正仿宋_GBK" w:eastAsia="方正仿宋_GBK" w:cs="方正仿宋_GBK"/>
          <w:color w:val="000000" w:themeColor="text1"/>
          <w:sz w:val="28"/>
          <w:szCs w:val="28"/>
          <w14:textFill>
            <w14:solidFill>
              <w14:schemeClr w14:val="tx1"/>
            </w14:solidFill>
          </w14:textFill>
        </w:rPr>
        <w:t>施工前，乙方应当组织对进场参加施工的人员进行安全培训，确保合格后上岗；甲方应对乙方进场施工人员进行入厂前安全生产告知教育，介绍施工中有关安全、消防、环保及厂区管理等要求。乙方若在施工过程中要增加或者减少项目工程施工人员，必须提前向甲方申报，甲方为增减的人员购买或拆除雇主责任保险，以及甲方对新进人员进行入厂前安全生产告知教育并备案。新进人员未经甲方购买保险和进行入厂前安全生产告知教育的乙方进场施工人员，发生安全生产事故，责任由乙方全部承担。</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w:t>
      </w:r>
      <w:bookmarkEnd w:id="49"/>
      <w:r>
        <w:rPr>
          <w:rFonts w:hint="eastAsia" w:ascii="方正仿宋_GBK" w:hAnsi="方正仿宋_GBK" w:eastAsia="方正仿宋_GBK" w:cs="方正仿宋_GBK"/>
          <w:color w:val="000000" w:themeColor="text1"/>
          <w:sz w:val="28"/>
          <w:szCs w:val="28"/>
          <w14:textFill>
            <w14:solidFill>
              <w14:schemeClr w14:val="tx1"/>
            </w14:solidFill>
          </w14:textFill>
        </w:rPr>
        <w:t>、甲乙双方应经常联系，相互协助检查和处理工程施工中有关的安全工作，共同预防事故发生。乙方人员施工中发生的不安全情况应及时向甲方通报，甲方安全管理部门有权对乙方实施安全监督、处罚。</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50" w:name="bookmark17"/>
      <w:r>
        <w:rPr>
          <w:rFonts w:hint="eastAsia" w:ascii="方正仿宋_GBK" w:hAnsi="方正仿宋_GBK" w:eastAsia="方正仿宋_GBK" w:cs="方正仿宋_GBK"/>
          <w:color w:val="000000" w:themeColor="text1"/>
          <w:sz w:val="28"/>
          <w:szCs w:val="28"/>
          <w14:textFill>
            <w14:solidFill>
              <w14:schemeClr w14:val="tx1"/>
            </w14:solidFill>
          </w14:textFill>
        </w:rPr>
        <w:t>8</w:t>
      </w:r>
      <w:bookmarkEnd w:id="50"/>
      <w:r>
        <w:rPr>
          <w:rFonts w:hint="eastAsia" w:ascii="方正仿宋_GBK" w:hAnsi="方正仿宋_GBK" w:eastAsia="方正仿宋_GBK" w:cs="方正仿宋_GBK"/>
          <w:color w:val="000000" w:themeColor="text1"/>
          <w:sz w:val="28"/>
          <w:szCs w:val="28"/>
          <w14:textFill>
            <w14:solidFill>
              <w14:schemeClr w14:val="tx1"/>
            </w14:solidFill>
          </w14:textFill>
        </w:rPr>
        <w:t>、乙方在施工期间必须严格遵守和执行甲方在安全生产方面的有关规定，接受甲方的监督、检查和指导。甲方有协助乙方搞好安全生产、督促检查的责任。对于查出的事故隐患，乙方应当立即整改；当隐患存在现实危险时，应立即停止施工，撤出作业人员。对限期整改项目，需经甲方评估同意后，方可恢复作业；如乙方拒不整改，甲方有权责令乙方暂停施工或撤消合同,对此造成的损失均由乙方承担。乙方有权拒绝甲方违章指挥、强令冒险作业。</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51" w:name="bookmark18"/>
      <w:r>
        <w:rPr>
          <w:rFonts w:hint="eastAsia" w:ascii="方正仿宋_GBK" w:hAnsi="方正仿宋_GBK" w:eastAsia="方正仿宋_GBK" w:cs="方正仿宋_GBK"/>
          <w:color w:val="000000" w:themeColor="text1"/>
          <w:sz w:val="28"/>
          <w:szCs w:val="28"/>
          <w14:textFill>
            <w14:solidFill>
              <w14:schemeClr w14:val="tx1"/>
            </w14:solidFill>
          </w14:textFill>
        </w:rPr>
        <w:t>9</w:t>
      </w:r>
      <w:bookmarkEnd w:id="51"/>
      <w:r>
        <w:rPr>
          <w:rFonts w:hint="eastAsia" w:ascii="方正仿宋_GBK" w:hAnsi="方正仿宋_GBK" w:eastAsia="方正仿宋_GBK" w:cs="方正仿宋_GBK"/>
          <w:color w:val="000000" w:themeColor="text1"/>
          <w:sz w:val="28"/>
          <w:szCs w:val="28"/>
          <w14:textFill>
            <w14:solidFill>
              <w14:schemeClr w14:val="tx1"/>
            </w14:solidFill>
          </w14:textFill>
        </w:rPr>
        <w:t>、施工区域范围各类安全防护设施、安全警示标志和接地线等不得擅自拆除、变动。如确实需要拆除、变动的，必须经施工负责人和甲、乙双方指派的安全管理人员书面同意，并办妥必要、可靠的安全措施后方进行。任何一方人员擅自拆除、变动安全防护设施、警示标志和接地线所造成的后果，均由该方负责。</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52" w:name="bookmark19"/>
      <w:r>
        <w:rPr>
          <w:rFonts w:hint="eastAsia" w:ascii="方正仿宋_GBK" w:hAnsi="方正仿宋_GBK" w:eastAsia="方正仿宋_GBK" w:cs="方正仿宋_GBK"/>
          <w:color w:val="000000" w:themeColor="text1"/>
          <w:sz w:val="28"/>
          <w:szCs w:val="28"/>
          <w14:textFill>
            <w14:solidFill>
              <w14:schemeClr w14:val="tx1"/>
            </w14:solidFill>
          </w14:textFill>
        </w:rPr>
        <w:t>1</w:t>
      </w:r>
      <w:bookmarkEnd w:id="52"/>
      <w:r>
        <w:rPr>
          <w:rFonts w:hint="eastAsia" w:ascii="方正仿宋_GBK" w:hAnsi="方正仿宋_GBK" w:eastAsia="方正仿宋_GBK" w:cs="方正仿宋_GBK"/>
          <w:color w:val="000000" w:themeColor="text1"/>
          <w:sz w:val="28"/>
          <w:szCs w:val="28"/>
          <w14:textFill>
            <w14:solidFill>
              <w14:schemeClr w14:val="tx1"/>
            </w14:solidFill>
          </w14:textFill>
        </w:rPr>
        <w:t>0、甲方对动火作业、吊装作业、涂装作业、有限空间作业等危险作业实行审批制，乙方应按甲方要求提交危险作业申请，经甲方审批后方可实施。甲、乙双方必须严格执行危险作业的操作规程，落实现场监管措施。</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乙方在执行有可能发生火灾、爆炸、触电、高空坠落、中毒、窒息、机械伤害、烧烫伤等人身伤亡事故和可能引起严重设备事故任务时，乙方在施工前应主动书面通知甲方，甲方事先向乙方进行详细的安全技术交底，要求乙方制定施工安全技术措施，经甲方审查合格后监督乙方实施，否则一切后果乙方自负。</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乙方在施工期间，借用甲方设备的，甲、乙双方有关人员办理借用手续。甲方应保证借出的设备完好并符合安全要求，设备的使用（包括有特殊使用要求说明的）应当交代清楚。乙方必须进行检验，一经接收，设备的保管应由乙方负责，并严格执行安全操作规程。在使用过程中，因使用操作不当而造成伤亡事故，责任由乙方承担。</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53" w:name="bookmark20"/>
      <w:r>
        <w:rPr>
          <w:rFonts w:hint="eastAsia" w:ascii="方正仿宋_GBK" w:hAnsi="方正仿宋_GBK" w:eastAsia="方正仿宋_GBK" w:cs="方正仿宋_GBK"/>
          <w:color w:val="000000" w:themeColor="text1"/>
          <w:sz w:val="28"/>
          <w:szCs w:val="28"/>
          <w14:textFill>
            <w14:solidFill>
              <w14:schemeClr w14:val="tx1"/>
            </w14:solidFill>
          </w14:textFill>
        </w:rPr>
        <w:t>1</w:t>
      </w:r>
      <w:bookmarkEnd w:id="53"/>
      <w:r>
        <w:rPr>
          <w:rFonts w:hint="eastAsia" w:ascii="方正仿宋_GBK" w:hAnsi="方正仿宋_GBK" w:eastAsia="方正仿宋_GBK" w:cs="方正仿宋_GBK"/>
          <w:color w:val="000000" w:themeColor="text1"/>
          <w:sz w:val="28"/>
          <w:szCs w:val="28"/>
          <w14:textFill>
            <w14:solidFill>
              <w14:schemeClr w14:val="tx1"/>
            </w14:solidFill>
          </w14:textFill>
        </w:rPr>
        <w:t>3、甲方不得指派乙方人员从事合同外的施工任务，乙方应拒绝执行合同外的施工任务。</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54" w:name="bookmark21"/>
      <w:r>
        <w:rPr>
          <w:rFonts w:hint="eastAsia" w:ascii="方正仿宋_GBK" w:hAnsi="方正仿宋_GBK" w:eastAsia="方正仿宋_GBK" w:cs="方正仿宋_GBK"/>
          <w:color w:val="000000" w:themeColor="text1"/>
          <w:sz w:val="28"/>
          <w:szCs w:val="28"/>
          <w14:textFill>
            <w14:solidFill>
              <w14:schemeClr w14:val="tx1"/>
            </w14:solidFill>
          </w14:textFill>
        </w:rPr>
        <w:t>1</w:t>
      </w:r>
      <w:bookmarkEnd w:id="54"/>
      <w:r>
        <w:rPr>
          <w:rFonts w:hint="eastAsia" w:ascii="方正仿宋_GBK" w:hAnsi="方正仿宋_GBK" w:eastAsia="方正仿宋_GBK" w:cs="方正仿宋_GBK"/>
          <w:color w:val="000000" w:themeColor="text1"/>
          <w:sz w:val="28"/>
          <w:szCs w:val="28"/>
          <w14:textFill>
            <w14:solidFill>
              <w14:schemeClr w14:val="tx1"/>
            </w14:solidFill>
          </w14:textFill>
        </w:rPr>
        <w:t>4、贯彻谁施工谁负责的安全管理原则，施工期间发生伤亡事故，双方应立即启动事故应急救援预案，开展紧急抢救伤员和保护现场，按照有关生产安全事故报告规定，在事故发生后及时报告所在地安全生产监督管理部门和公安、消防等有关部门。</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15、按月发放民工工资，根据节点完成情况，支付每一期工程款时，凭民工工资发放表进行审批，杜绝拖欠民工工资的违法行为。</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16、甲方为乙方购买了雇主责任保险，被保险人（施工人员）的故意行为、重大过失行为、特殊岗位无证操作、无证操作特种设备、罚款、精神损害、与工作无关行为造成伤害，以及雇主责任保险条款规定的责任免除条款（包含职业病），不在雇主责任保险范围内，不负责赔偿。</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二、甲方其他安全管理责任和权利</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1、宣传贯彻国家安全生产法律、法规，坚持“安全第一、预防为主、综合治理”的方针，对工程项目履行监督管理责任。因甲方及甲方人员责任发生的事故，责任由甲方承担。</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2、建立和完善安全生产规章制度、操作规程、管理办法，并督促乙方贯彻实施。</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3、向乙方提供必要的作业环境、设施设备、电源、气源、水源。</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4、协助乙方处理安全生产过程中出现的不安全因素及事故处理。</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5、审核乙方单位资质、人员身份信息，存档备案。</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6、配合乙方对上岗人员和工程中途更换人员进行岗前安全环保培训教育，经考核合格后，方能上岗，以及保险购买。</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有权提醒乙方加强对员工的日常安全学习教育，开好班前作业会，正确操作设施设备、工属具，坚持每日安全排查制度，坚持在作业前对皮管、手线、工具、作业环境进行安全检查，正确穿戴好劳动防护用品，达到本质安全作业条件。</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对乙方施工安全、消防、环保工作，有督促检查、纠正违章的权利。对乙方违章指挥、违规冒险作业，甲方有权责令停止施工作业，并约谈乙方主要负责人；对乙方人员违反有关安全生产相关规定、制度、操作规程的行为，有权进行教育、给予经济处罚。</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9、对乙方使用不符合合同规定、未办理相关手续、未经岗前培训的人员有权责令其停止作业。</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10、甲方为施工单位购买的雇主责任保险仅作为乙方工伤事故赔付后差额部分的辅助保险。</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三、乙方其他安全管理责任和权利</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1、按照“谁承包、谁负责”原则，乙方负责人对所承包工程的安全生产全面负责。乙方不得将施工项目转包或分包。因乙方及乙方施工人员责任发生事故，责任由乙方承担。</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2、精心组织施工，教育、指导、监督员工严格遵守安全规章制度和操作规程，严防事故发生。</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负责组织好员工的日常安全学习教育，召开好班前作业会，做好日排查，纠正违章，及时消除不安全因素；提供符合国家标准的劳动防护器材和用品，教育、指导、督促员工正确使用和穿戴。对生产中出现的不安全因素，自行不能整改的，及时向甲方报告，未整改前，应停止作业。</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4、乙方特种作业人员必须按照国家有关规定取得相应资格，持证上岗。特种作业人员未持证上岗，行政处罚、事故责任由乙方承担。</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5、乙方施工人员应对所在的施工区域、作业环境及所使用的设施、设备、工器具等进行认真检查，发现隐患立即停止施工，并经落实整改后方准继续施工。</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6、工程使用易燃、易爆、腐蚀等危化物品及管制物品要妥善保管，贴上安全标识，拉好警戒线，严禁随意堆放。</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乙方在作业区域内产生的一般废物（包装箱、塑料袋、焊丝盘、废电缆、废钢沙及焊渣）、危险废物（油桶、油漆桶、油漆渣、废油、含油废物）、余料、垃圾等实行分类集中堆放，不得随意丢弃，下班前清运到指定的废物存放点，必须做到工完场清并做好记录，杜绝环保污染事件发生。</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8、按甲方规定的车辆通行线路、限速标志、安全提示行车，严防厂内交通事故；在甲方划定的停车区域规范停车。</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9、所有人员进入施工现场必须戴好安全帽。非施工人员严禁进入生产工作现场，禁止将小孩带人生产工作场所。</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10、乙方参加施工人员要求身体健康，年龄必须年满18周岁，小于55周岁，入场前，乙方必须为每位员工购置必须的劳保用品。</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11、乙方进场施工前，必须向甲方提供企业及员工的基本信息，包括企业工商营业执照、资质证书、身份证复印件、体检报告、特种作业操作证复印件、特种设备操作证复印件等相关证件。</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在生产过程中发生微、轻、重等各类伤害事故，应立即上报安全环保部进行事故现场确认（30分钟以内），不得破坏事故现场，便于联系保险公司对事故现场进行事故确认并取证留底，并积极配合安全环保部进行事故调查；如超过24小时未上报保险公司造成脱保现象，由施工单位自行负责。</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13、乙方应按相关规定为所属人员购买保险，甲方购买的雇主责任保险仅作为乙方所属人员的辅助保险。</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14、乙方不得使用65岁（65岁以上）的工人，如乙方用65岁（65岁以上）的工人发生一切事故，由乙方负责解决、处理并承担经济和法律责任。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四、其他</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本协议书一式肆份，甲方存叁份、乙方存一份，经双方签字、盖章后生效。</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甲方（签章）：                     乙方（签章）：</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代表（签字）：                     代表（签字）：</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年  月  日                        年  月  日</w:t>
      </w:r>
    </w:p>
    <w:p>
      <w:pPr>
        <w:pStyle w:val="11"/>
        <w:spacing w:line="480" w:lineRule="exact"/>
        <w:ind w:firstLine="560" w:firstLineChars="200"/>
        <w:rPr>
          <w:rFonts w:hint="eastAsia"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br w:type="page"/>
      </w:r>
      <w:bookmarkStart w:id="55" w:name="_Toc172015273"/>
      <w:r>
        <w:rPr>
          <w:rFonts w:hint="eastAsia" w:ascii="方正仿宋_GBK" w:hAnsi="方正仿宋_GBK" w:eastAsia="方正仿宋_GBK" w:cs="方正仿宋_GBK"/>
          <w:color w:val="000000" w:themeColor="text1"/>
          <w:sz w:val="28"/>
          <w:szCs w:val="28"/>
          <w14:textFill>
            <w14:solidFill>
              <w14:schemeClr w14:val="tx1"/>
            </w14:solidFill>
          </w14:textFill>
        </w:rPr>
        <w:t>合同附件六</w:t>
      </w:r>
    </w:p>
    <w:p>
      <w:pPr>
        <w:pStyle w:val="11"/>
        <w:spacing w:line="480" w:lineRule="exact"/>
        <w:ind w:firstLine="2240" w:firstLineChars="700"/>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外包工程项目职业</w:t>
      </w:r>
      <w:r>
        <w:rPr>
          <w:rFonts w:hint="eastAsia" w:ascii="方正小标宋_GBK" w:hAnsi="方正小标宋_GBK" w:eastAsia="方正小标宋_GBK" w:cs="方正小标宋_GBK"/>
          <w:color w:val="000000" w:themeColor="text1"/>
          <w:sz w:val="32"/>
          <w:szCs w:val="32"/>
          <w:lang w:eastAsia="zh-CN"/>
          <w14:textFill>
            <w14:solidFill>
              <w14:schemeClr w14:val="tx1"/>
            </w14:solidFill>
          </w14:textFill>
        </w:rPr>
        <w:t>健康</w:t>
      </w:r>
      <w:r>
        <w:rPr>
          <w:rFonts w:hint="eastAsia" w:ascii="方正小标宋_GBK" w:hAnsi="方正小标宋_GBK" w:eastAsia="方正小标宋_GBK" w:cs="方正小标宋_GBK"/>
          <w:color w:val="000000" w:themeColor="text1"/>
          <w:sz w:val="32"/>
          <w:szCs w:val="32"/>
          <w14:textFill>
            <w14:solidFill>
              <w14:schemeClr w14:val="tx1"/>
            </w14:solidFill>
          </w14:textFill>
        </w:rPr>
        <w:t>安全管理协议</w:t>
      </w:r>
      <w:bookmarkEnd w:id="55"/>
    </w:p>
    <w:p>
      <w:pPr>
        <w:pStyle w:val="11"/>
        <w:spacing w:line="48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甲方（工程发包方）：重庆中江船业有限公司</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乙方（工程承包方）：XX钢结构有限</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公</w:t>
      </w:r>
      <w:r>
        <w:rPr>
          <w:rFonts w:hint="eastAsia" w:ascii="方正仿宋_GBK" w:hAnsi="方正仿宋_GBK" w:eastAsia="方正仿宋_GBK" w:cs="方正仿宋_GBK"/>
          <w:color w:val="000000" w:themeColor="text1"/>
          <w:sz w:val="28"/>
          <w:szCs w:val="28"/>
          <w14:textFill>
            <w14:solidFill>
              <w14:schemeClr w14:val="tx1"/>
            </w14:solidFill>
          </w14:textFill>
        </w:rPr>
        <w:t>司</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工程名称：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130mLNG单燃料集散货船</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为贯彻“预防为主、防治结合”的职业病防治方针，根据《中华人民共和国职业病防治法》等法律法规规定，明确双方的职业病防治责任，确保职业安全，双方在签订工程承包合同时，同时签订本协议。</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一、甲乙双方协同配合管理责任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1、甲、乙双方必须严格执行有关职业病防治相关的法律、法规、规章、强制标准和安全操作规程。</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2、甲、乙双方都应指派专人对职业卫生工作进行管理，乙方必须指定兼职职业卫生管理员。施工期间，负责本工程项目的日常职业健康管理工作。</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甲方对乙方负责人和工程技术人员根据工程项目内容、特点进行职业健康安全技术交底。乙方应详细了解工程项目的职业危害因素、各类职业防护安全措施情况及注意事项后，根据相关职业卫生安全技术措施，并严格执行。</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4、甲、乙双方必须认真对本单位员工进行职业病防治知识教育，增强员工职业病防治意识，提高员工自我保护技能，督促员工自觉佩戴符合相关标准的个体防护用品。</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进场前，乙方应当组织对进场参加施工的人员进行岗前职业健康检查并向甲方提供员工的职业健康检查表复印件；甲方应对乙方进场施工人员进行职业病防治知识安全教育培训及岗位风险告知，介绍施工中有关职业病防治管理的相关要求。乙方若在施工中途要增加进场参加施工人员，必须提供员工的职业健康检查报告（复印件），同时向甲方申报。未提供职业健康检查报告的乙方进场施工人员，发生职业病，责任由乙方全部承担。</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7、甲乙双方应经常联系，相互协助检查和处理工程施工中有关的职业病防治工作，共同预防职业危害事件发生。甲方职业卫生安全管理部门有权对乙方实施安全监督、违约考核。</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8、乙方在施工期间必须严格遵守和执行甲方在职业卫生安全方面的有关规定，接受甲方的监督、检查和指导。甲方有协助乙方搞好职业病防治工作的责任。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乙方在执行有可能发生职业危害任务时，乙方在施工前应主动书面通知甲方，甲方事先向乙方进行详细的职业卫生安全技术交底，要求乙方制定施工安全技术措施，经甲方审查合格后监督乙方实施，否则一切后果乙方自负。</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二、甲方职业卫生管理责任和权利</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1、宣传贯彻国家职业病防治法律、法规，坚持“预防为主、防治结合”的方针，对工程项目履行职业病防治监督管理责任。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2、负责审核乙方单位资质、人员身份信息，存档备案。</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3、按照职业病防治法等法律法规的相关要求，建立和完善职业卫生规章制度、操作规程、管理办法，并督促乙方贯彻实施。</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4、负责对工作场所职业病危害因素进行定期检测。</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5、对施工单位员工进行职业卫生安全教育培训。</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6、监督乙方加强对员工的日常职业病防治管理，开好班前作业会，正确佩戴符合相关标准的个体防护用品，达到本质安全作业条件。</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7、对乙方职业病防治工作，有督促检查、纠正违章的权利。对乙方人员违反有关职业病防治相关规定、制度、操作规程的行为，有权进行教育、给予违约考核。</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8、对施工单位的劳动防护用品购买、发放和使用进行监督。</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9、组织、督促施工单位对本单位的施工作业人员开展职业健康检查（岗前、在岗、离岗）工作。</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三、乙方职业卫生管理责任和权利</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1、乙方进场施工前，必须向甲方提供企业及员工的基本信息，包括企业工商营业执照、资质证书、身份证复印件、职业健康检查报告复印件等相关证件。</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2、按照“谁承包、谁负责”原则，乙方负责人对所承包工程的职业病防治工作全面负责。因乙方及乙方施工人员的责任导致发生职业病，责任由乙方承担。</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3、精心组织施工，教育、指导、监督员工严格遵守职业卫生规章制度和操作规程，严防职业危害事故发生。</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负责组织好员工的日常职业病防治教育，召开好班前作业会，做好日排查，纠正违章，及时消除不安全因素；提供符合国家标准的劳动防护器材和用品，教育、指导、督促员工正确使用和穿戴。对生产中出现的职业病危害因素，自行不能整改的，及时向甲方报告，未整改前，应停止作业。</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5、所有施工人员进入施工现场作业时必须戴好个人防护用品。非施工人员严禁进入生产工作现场。</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6、乙方参加施工人员要求身体健康，年龄必须年满18周岁，小于65周岁。工作中，乙方必须为接触职业危害的员工发放符合相关标准的职业病防护用品，督促其正确佩戴。</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7、乙方不得使用有职业禁忌症或者患有职业病的工人，如乙方不听招呼，坚持使用，后果由乙方自行负责解决、处理并承担经济和法律责任。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四、其他</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本协议书一式肆份，甲方存叁份、乙方存一份，经双方签字、盖章后生效。</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甲方（签章）：                     乙方（签章）：</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代表（签字）：                     代表（签字）：</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年 月 日                     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年 月 日</w:t>
      </w:r>
    </w:p>
    <w:p>
      <w:pPr>
        <w:pStyle w:val="11"/>
        <w:spacing w:line="48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p>
    <w:p>
      <w:pPr>
        <w:pStyle w:val="11"/>
        <w:spacing w:line="48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br w:type="page"/>
      </w:r>
      <w:bookmarkStart w:id="56" w:name="_Toc172015274"/>
      <w:r>
        <w:rPr>
          <w:rFonts w:hint="eastAsia" w:ascii="方正仿宋_GBK" w:hAnsi="方正仿宋_GBK" w:eastAsia="方正仿宋_GBK" w:cs="方正仿宋_GBK"/>
          <w:color w:val="000000" w:themeColor="text1"/>
          <w:sz w:val="28"/>
          <w:szCs w:val="28"/>
          <w14:textFill>
            <w14:solidFill>
              <w14:schemeClr w14:val="tx1"/>
            </w14:solidFill>
          </w14:textFill>
        </w:rPr>
        <w:t>合同附件七</w:t>
      </w: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t xml:space="preserve">         </w:t>
      </w:r>
    </w:p>
    <w:p>
      <w:pPr>
        <w:pStyle w:val="11"/>
        <w:spacing w:line="480" w:lineRule="exact"/>
        <w:ind w:firstLine="3840" w:firstLineChars="1200"/>
        <w:rPr>
          <w:rFonts w:hint="eastAsia" w:ascii="方正小标宋_GBK" w:hAnsi="方正小标宋_GBK" w:eastAsia="方正小标宋_GBK" w:cs="方正小标宋_GBK"/>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外包工程廉政协议</w:t>
      </w:r>
      <w:bookmarkEnd w:id="56"/>
    </w:p>
    <w:p>
      <w:pPr>
        <w:pStyle w:val="11"/>
        <w:spacing w:line="48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甲方（工程发包方）：重庆中江船业有限公司</w:t>
      </w:r>
    </w:p>
    <w:p>
      <w:pPr>
        <w:pStyle w:val="11"/>
        <w:spacing w:line="48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乙方（工程承包方）：XX钢结构有限司   </w:t>
      </w:r>
    </w:p>
    <w:p>
      <w:pPr>
        <w:pStyle w:val="11"/>
        <w:spacing w:line="48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工程名称：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130mLNG单燃料集散货船</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pStyle w:val="11"/>
        <w:spacing w:line="480" w:lineRule="exact"/>
        <w:ind w:firstLine="840" w:firstLineChars="3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为加强工程中的廉政建设，规范项目承发包双方的各项活动，防止发生各种谋取不正当利益的违法违纪行为，特订立本廉政协议。</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第一条：甲乙双方的责任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（一）应严格遵守国家关于市场准入、项目招标投标、施工安装和市场活动等有关法律、法规，相关政策，以及廉政建设的各项规定。</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（二）严格执行项目承发包合同文件，自觉按合同办事。</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（三）业务活动必须坚持依法合规、公开公平、诚信透明的原则（除法律法规另有规定者外），不得为获取不正当的利益，损害国家和对方利益。</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（四）发现对方在业务活动中有违规、违纪、违法行为的，应及时提醒对方，情节严重的，应向其上级主管部门或纪检监察、司法等有关机关举报。</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第二条：甲方的责任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甲方的领导和从事该工程项目的工作人员，在工程的事前、事中、事后应遵守以下规定：</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（一）不准向乙方和相关单位索要或接受回扣、礼金、有价证券、贵重物品和好处费、感谢费等。</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（二）不准在乙方和相关单位报销任何应由甲方或个人支付的费用。</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（三）不准要求、暗示和接受乙方和相关单位为个人装修住房、婚丧嫁娶、配偶子女的工作安排以及出国（境）、旅游等提供方便。</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（四）不准参加有可能影响公正执行公务的乙方和相关单位的宴请和健身、娱乐等活动。</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第三条：乙方的责任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应与甲方保持正常的业务交往，按照有关法律法规和程序开展业务工作，严格执行工程的有关方针、政策，尤其是有关船舶建造的强制性标准和规范，并遵守以下规定：</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（一）不准以任何理由向甲方、相关单位及其工作人员索要、接受或赠送礼金、有价证券、贵重物品和回扣、好处费、感谢费等。</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（二）不准以任何理由为甲方和相关单位报销应由对方或个人支付的费用。</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（三）不准接受或暗示为甲方、相关单位或个人装修住房、婚丧嫁娶、配偶子女的工作安排以及出国（境）、旅游等提供方便。</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（四）不准以任何理由为甲方、相关单位或个人组织有可能影响公正执行公务的宴请、健身、娱乐等活动。</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第四条：违约责任</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甲方工作人员有违反本协议第一、二条责任行为的，乙方举报后，按照管理权限，依据有关法律法规和规定给予党纪、政纪处分或组织处理；涉嫌犯罪的，移交司法机关追究刑事责任；给乙方单位造成经济损失的，应予以赔偿。</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二）乙方工作人员有违反本协议第一、三条责任行为的，甲方举报后，按照管理权限，依据有关法律法规和规定给予党纪、政纪处分或组织处理；涉嫌犯罪的，移交司法机关追究刑事责任；给甲方造成经济损失的，应予以赔偿。</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乙方工作人员有违反本协议第一、三条责任行为的，甲方指出后拒不改正的，纳入甲方承包商“黑名单”，乙方不得再次承接甲方项目。</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第五条  本协议作为工程劳务合同的附件，与工程劳务合同具有同等法律效力。</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第六条：本协议一式肆份，甲方持叁份，乙方持壹份，具有同等法律效力。</w:t>
      </w:r>
    </w:p>
    <w:p>
      <w:pPr>
        <w:pStyle w:val="11"/>
        <w:spacing w:line="480" w:lineRule="exact"/>
        <w:ind w:firstLine="0" w:firstLineChars="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甲方（签章）：                               乙方（签章）：</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代表（签字）：                               代表（签字）：</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年 月 日                                202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年 月 日</w:t>
      </w:r>
    </w:p>
    <w:p>
      <w:pPr>
        <w:pStyle w:val="11"/>
        <w:spacing w:line="480" w:lineRule="exact"/>
        <w:ind w:firstLine="0" w:firstLineChars="0"/>
        <w:rPr>
          <w:rFonts w:asciiTheme="majorEastAsia" w:hAnsiTheme="majorEastAsia" w:eastAsiaTheme="majorEastAsia"/>
          <w:color w:val="000000" w:themeColor="text1"/>
          <w:sz w:val="28"/>
          <w:szCs w:val="28"/>
          <w14:textFill>
            <w14:solidFill>
              <w14:schemeClr w14:val="tx1"/>
            </w14:solidFill>
          </w14:textFill>
        </w:rPr>
      </w:pPr>
    </w:p>
    <w:p>
      <w:pPr>
        <w:pStyle w:val="11"/>
        <w:spacing w:line="480" w:lineRule="exact"/>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p>
      <w:pPr>
        <w:spacing w:line="360" w:lineRule="auto"/>
        <w:jc w:val="center"/>
        <w:rPr>
          <w:rFonts w:hint="eastAsia" w:ascii="方正小标宋_GBK" w:hAnsi="方正小标宋_GBK" w:eastAsia="方正小标宋_GBK" w:cs="方正小标宋_GBK"/>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color w:val="000000" w:themeColor="text1"/>
          <w:sz w:val="32"/>
          <w:szCs w:val="32"/>
          <w14:textFill>
            <w14:solidFill>
              <w14:schemeClr w14:val="tx1"/>
            </w14:solidFill>
          </w14:textFill>
        </w:rPr>
        <w:t xml:space="preserve"> </w:t>
      </w:r>
      <w:r>
        <w:rPr>
          <w:rFonts w:hint="eastAsia" w:ascii="方正小标宋_GBK" w:hAnsi="方正小标宋_GBK" w:eastAsia="方正小标宋_GBK" w:cs="方正小标宋_GBK"/>
          <w:b/>
          <w:color w:val="000000" w:themeColor="text1"/>
          <w:sz w:val="32"/>
          <w:szCs w:val="32"/>
          <w14:textFill>
            <w14:solidFill>
              <w14:schemeClr w14:val="tx1"/>
            </w14:solidFill>
          </w14:textFill>
        </w:rPr>
        <w:t>第五章  比选参选书</w:t>
      </w:r>
    </w:p>
    <w:p>
      <w:pPr>
        <w:pStyle w:val="6"/>
        <w:spacing w:line="480" w:lineRule="exact"/>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重庆中江船业有限公司：</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1、根据已收到的“</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130mLNG单燃料集散货船</w:t>
      </w:r>
      <w:r>
        <w:rPr>
          <w:rFonts w:hint="eastAsia" w:ascii="方正仿宋_GBK" w:hAnsi="方正仿宋_GBK" w:eastAsia="方正仿宋_GBK" w:cs="方正仿宋_GBK"/>
          <w:color w:val="000000" w:themeColor="text1"/>
          <w:sz w:val="28"/>
          <w:szCs w:val="28"/>
          <w14:textFill>
            <w14:solidFill>
              <w14:schemeClr w14:val="tx1"/>
            </w14:solidFill>
          </w14:textFill>
        </w:rPr>
        <w:t>”</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ZJ2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5-C1327</w:t>
      </w:r>
      <w:r>
        <w:rPr>
          <w:rFonts w:hint="eastAsia" w:ascii="方正仿宋_GBK" w:hAnsi="方正仿宋_GBK" w:eastAsia="方正仿宋_GBK" w:cs="方正仿宋_GBK"/>
          <w:color w:val="000000" w:themeColor="text1"/>
          <w:sz w:val="28"/>
          <w:szCs w:val="28"/>
          <w14:textFill>
            <w14:solidFill>
              <w14:schemeClr w14:val="tx1"/>
            </w14:solidFill>
          </w14:textFill>
        </w:rPr>
        <w:t>)船体建造劳务比选文件，我单位经考察现场和研究上述工程比选文件的竞标须知、技术规范、图纸工程量和其他有关文件后，我方愿意在比选人提供的上述技术规范、图纸、工程量的条件下提供服务安装服务。</w:t>
      </w:r>
    </w:p>
    <w:p>
      <w:pPr>
        <w:pStyle w:val="6"/>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2、我方愿以</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元/艘承接该工程 ；</w:t>
      </w:r>
    </w:p>
    <w:p>
      <w:pPr>
        <w:pStyle w:val="6"/>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3、一旦我方中标，我方保证在</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日开工，</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日竣工，即</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天（日历天）内竣工并移交整个工程，工程质量等级</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pPr>
        <w:pStyle w:val="6"/>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4、我方同意所递交的竞标文件在“竞标须知”规定的投标有效期内有效，在此期间内我方的竞标可能中标，我方将受此约束。</w:t>
      </w:r>
    </w:p>
    <w:p>
      <w:pPr>
        <w:pStyle w:val="6"/>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6、除非另外达成协议并生效，你方的中标通知书和本竞标文件将构成约束我们双方的合同。</w:t>
      </w:r>
    </w:p>
    <w:p>
      <w:pPr>
        <w:pStyle w:val="6"/>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w:t>
      </w:r>
      <w:bookmarkStart w:id="57" w:name="OLE_LINK5"/>
      <w:r>
        <w:rPr>
          <w:rFonts w:hint="eastAsia" w:ascii="方正仿宋_GBK" w:hAnsi="方正仿宋_GBK" w:eastAsia="方正仿宋_GBK" w:cs="方正仿宋_GBK"/>
          <w:color w:val="000000" w:themeColor="text1"/>
          <w:sz w:val="28"/>
          <w:szCs w:val="28"/>
          <w14:textFill>
            <w14:solidFill>
              <w14:schemeClr w14:val="tx1"/>
            </w14:solidFill>
          </w14:textFill>
        </w:rPr>
        <w:t>我方同意</w:t>
      </w:r>
      <w:bookmarkEnd w:id="57"/>
      <w:r>
        <w:rPr>
          <w:rFonts w:hint="eastAsia" w:ascii="方正仿宋_GBK" w:hAnsi="方正仿宋_GBK" w:eastAsia="方正仿宋_GBK" w:cs="方正仿宋_GBK"/>
          <w:color w:val="000000" w:themeColor="text1"/>
          <w:sz w:val="28"/>
          <w:szCs w:val="28"/>
          <w14:textFill>
            <w14:solidFill>
              <w14:schemeClr w14:val="tx1"/>
            </w14:solidFill>
          </w14:textFill>
        </w:rPr>
        <w:t>按合同金额的5%提交履约保证金。</w:t>
      </w:r>
    </w:p>
    <w:p>
      <w:pPr>
        <w:pStyle w:val="6"/>
        <w:spacing w:line="480" w:lineRule="exact"/>
        <w:ind w:firstLine="560" w:firstLineChars="200"/>
        <w:rPr>
          <w:rFonts w:hint="eastAsia" w:ascii="方正仿宋_GBK" w:hAnsi="方正仿宋_GBK" w:eastAsia="方正仿宋_GBK" w:cs="方正仿宋_GBK"/>
          <w:color w:val="000000" w:themeColor="text1"/>
          <w:sz w:val="28"/>
          <w:szCs w:val="28"/>
          <w:u w:val="dotted"/>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8、我方同意</w:t>
      </w:r>
      <w:r>
        <w:rPr>
          <w:rFonts w:hint="eastAsia" w:ascii="方正仿宋_GBK" w:hAnsi="方正仿宋_GBK" w:eastAsia="方正仿宋_GBK" w:cs="方正仿宋_GBK"/>
          <w:color w:val="000000" w:themeColor="text1"/>
          <w:sz w:val="28"/>
          <w:szCs w:val="28"/>
          <w:u w:val="dotted"/>
          <w14:textFill>
            <w14:solidFill>
              <w14:schemeClr w14:val="tx1"/>
            </w14:solidFill>
          </w14:textFill>
        </w:rPr>
        <w:t>提供全部参加该工程人员的意外险的保单额为100万元/人。</w:t>
      </w:r>
    </w:p>
    <w:p>
      <w:pPr>
        <w:pStyle w:val="6"/>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竞标单位：（名称及盖章）</w:t>
      </w:r>
    </w:p>
    <w:p>
      <w:pPr>
        <w:pStyle w:val="6"/>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单位地址：</w:t>
      </w:r>
    </w:p>
    <w:p>
      <w:pPr>
        <w:pStyle w:val="6"/>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法定代表人或委托代理人：（签字、盖章）</w:t>
      </w:r>
    </w:p>
    <w:p>
      <w:pPr>
        <w:pStyle w:val="6"/>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邮政编码：</w:t>
      </w:r>
    </w:p>
    <w:p>
      <w:pPr>
        <w:pStyle w:val="6"/>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电话及传真：</w:t>
      </w:r>
    </w:p>
    <w:p>
      <w:pPr>
        <w:pStyle w:val="6"/>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日期：   年   月   日</w:t>
      </w:r>
    </w:p>
    <w:p>
      <w:pPr>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spacing w:line="360" w:lineRule="auto"/>
        <w:rPr>
          <w:rFonts w:asciiTheme="majorEastAsia" w:hAnsiTheme="majorEastAsia" w:eastAsiaTheme="majorEastAsia"/>
          <w:b/>
          <w:color w:val="000000" w:themeColor="text1"/>
          <w:sz w:val="28"/>
          <w:szCs w:val="28"/>
          <w14:textFill>
            <w14:solidFill>
              <w14:schemeClr w14:val="tx1"/>
            </w14:solidFill>
          </w14:textFill>
        </w:rPr>
      </w:pPr>
    </w:p>
    <w:p>
      <w:pPr>
        <w:spacing w:line="360" w:lineRule="auto"/>
        <w:rPr>
          <w:rFonts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方正小标宋_GBK" w:hAnsi="方正小标宋_GBK" w:eastAsia="方正小标宋_GBK" w:cs="方正小标宋_GBK"/>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color w:val="000000" w:themeColor="text1"/>
          <w:sz w:val="32"/>
          <w:szCs w:val="32"/>
          <w14:textFill>
            <w14:solidFill>
              <w14:schemeClr w14:val="tx1"/>
            </w14:solidFill>
          </w14:textFill>
        </w:rPr>
        <w:t>法定代表人资格证明书</w:t>
      </w:r>
    </w:p>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姓名：         性别：         年龄：       职务：</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系（单位名称）的法定代表人。为施工、竣工和保修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130mLNG单燃料集散货船</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”建造工程劳务(工程编号：ZJ2</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5-C1327</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工程，签署上述工程的竞标文件、签署合同和处理与之相关的一切事务。</w:t>
      </w:r>
    </w:p>
    <w:p>
      <w:pPr>
        <w:spacing w:line="360" w:lineRule="auto"/>
        <w:ind w:firstLine="555"/>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特此证明</w:t>
      </w:r>
    </w:p>
    <w:p>
      <w:pPr>
        <w:spacing w:line="360" w:lineRule="auto"/>
        <w:ind w:firstLine="4984" w:firstLineChars="1780"/>
        <w:rPr>
          <w:rFonts w:hint="eastAsia" w:ascii="方正仿宋_GBK" w:hAnsi="方正仿宋_GBK" w:eastAsia="方正仿宋_GBK" w:cs="方正仿宋_GBK"/>
          <w:color w:val="000000" w:themeColor="text1"/>
          <w:sz w:val="28"/>
          <w:szCs w:val="28"/>
          <w14:textFill>
            <w14:solidFill>
              <w14:schemeClr w14:val="tx1"/>
            </w14:solidFill>
          </w14:textFill>
        </w:rPr>
      </w:pPr>
    </w:p>
    <w:p>
      <w:pPr>
        <w:spacing w:line="360" w:lineRule="auto"/>
        <w:ind w:firstLine="4984" w:firstLineChars="178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竞标单位：（名称及公章）</w:t>
      </w:r>
    </w:p>
    <w:p>
      <w:pPr>
        <w:spacing w:line="360" w:lineRule="auto"/>
        <w:ind w:firstLine="4900" w:firstLineChars="175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日期：    年    月    日</w:t>
      </w:r>
    </w:p>
    <w:p>
      <w:pPr>
        <w:spacing w:line="360" w:lineRule="auto"/>
        <w:ind w:firstLine="555"/>
        <w:jc w:val="center"/>
        <w:rPr>
          <w:rFonts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方正小标宋_GBK" w:hAnsi="方正小标宋_GBK" w:eastAsia="方正小标宋_GBK" w:cs="方正小标宋_GBK"/>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color w:val="000000" w:themeColor="text1"/>
          <w:sz w:val="32"/>
          <w:szCs w:val="32"/>
          <w14:textFill>
            <w14:solidFill>
              <w14:schemeClr w14:val="tx1"/>
            </w14:solidFill>
          </w14:textFill>
        </w:rPr>
        <w:t>授权委托书</w:t>
      </w:r>
    </w:p>
    <w:p>
      <w:pPr>
        <w:pStyle w:val="11"/>
        <w:spacing w:line="480" w:lineRule="exact"/>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本授权委托书申明：我</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（姓名）</w:t>
      </w:r>
      <w:r>
        <w:rPr>
          <w:rFonts w:hint="eastAsia" w:ascii="方正仿宋_GBK" w:hAnsi="方正仿宋_GBK" w:eastAsia="方正仿宋_GBK" w:cs="方正仿宋_GBK"/>
          <w:color w:val="000000" w:themeColor="text1"/>
          <w:sz w:val="28"/>
          <w:szCs w:val="28"/>
          <w14:textFill>
            <w14:solidFill>
              <w14:schemeClr w14:val="tx1"/>
            </w14:solidFill>
          </w14:textFill>
        </w:rPr>
        <w:t>系</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（投标单位名称）</w:t>
      </w:r>
      <w:r>
        <w:rPr>
          <w:rFonts w:hint="eastAsia" w:ascii="方正仿宋_GBK" w:hAnsi="方正仿宋_GBK" w:eastAsia="方正仿宋_GBK" w:cs="方正仿宋_GBK"/>
          <w:color w:val="000000" w:themeColor="text1"/>
          <w:sz w:val="28"/>
          <w:szCs w:val="28"/>
          <w14:textFill>
            <w14:solidFill>
              <w14:schemeClr w14:val="tx1"/>
            </w14:solidFill>
          </w14:textFill>
        </w:rPr>
        <w:t>的法定代表人，现授权委托</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的</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为我单位的代理人，并以本单位的名义参加重庆中江船业有限公司的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130mLNG单燃料集散货船</w:t>
      </w:r>
      <w:r>
        <w:rPr>
          <w:rFonts w:hint="eastAsia" w:ascii="方正仿宋_GBK" w:hAnsi="方正仿宋_GBK" w:eastAsia="方正仿宋_GBK" w:cs="方正仿宋_GBK"/>
          <w:color w:val="000000" w:themeColor="text1"/>
          <w:sz w:val="28"/>
          <w:szCs w:val="28"/>
          <w14:textFill>
            <w14:solidFill>
              <w14:schemeClr w14:val="tx1"/>
            </w14:solidFill>
          </w14:textFill>
        </w:rPr>
        <w:t>”船体建造工程劳务(工程编号：ZJ2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5-C1327</w:t>
      </w:r>
      <w:r>
        <w:rPr>
          <w:rFonts w:hint="eastAsia" w:ascii="方正仿宋_GBK" w:hAnsi="方正仿宋_GBK" w:eastAsia="方正仿宋_GBK" w:cs="方正仿宋_GBK"/>
          <w:color w:val="000000" w:themeColor="text1"/>
          <w:sz w:val="28"/>
          <w:szCs w:val="28"/>
          <w14:textFill>
            <w14:solidFill>
              <w14:schemeClr w14:val="tx1"/>
            </w14:solidFill>
          </w14:textFill>
        </w:rPr>
        <w:t>)工程的竞标活动。代理人在开标、评标、合同谈判过程中所签署的一切文件和处理与之有关的一切事务，我均予以承认。</w:t>
      </w:r>
    </w:p>
    <w:p>
      <w:pPr>
        <w:spacing w:line="360" w:lineRule="auto"/>
        <w:ind w:firstLine="555"/>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代理人无转委托权。</w:t>
      </w:r>
    </w:p>
    <w:p>
      <w:pPr>
        <w:spacing w:line="360" w:lineRule="auto"/>
        <w:ind w:firstLine="555"/>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特此委托。</w:t>
      </w:r>
    </w:p>
    <w:p>
      <w:pPr>
        <w:spacing w:line="360" w:lineRule="auto"/>
        <w:ind w:firstLine="555"/>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竞标单位：（名称及公章）</w:t>
      </w:r>
    </w:p>
    <w:p>
      <w:pPr>
        <w:spacing w:line="360" w:lineRule="auto"/>
        <w:ind w:firstLine="555"/>
        <w:rPr>
          <w:rFonts w:hint="eastAsia" w:ascii="方正仿宋_GBK" w:hAnsi="方正仿宋_GBK" w:eastAsia="方正仿宋_GBK" w:cs="方正仿宋_GBK"/>
          <w:color w:val="000000" w:themeColor="text1"/>
          <w:sz w:val="28"/>
          <w:szCs w:val="28"/>
          <w14:textFill>
            <w14:solidFill>
              <w14:schemeClr w14:val="tx1"/>
            </w14:solidFill>
          </w14:textFill>
        </w:rPr>
      </w:pPr>
    </w:p>
    <w:p>
      <w:pPr>
        <w:spacing w:line="360" w:lineRule="auto"/>
        <w:ind w:firstLine="555"/>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法定代表人：（签字、盖章）</w:t>
      </w:r>
    </w:p>
    <w:p>
      <w:pPr>
        <w:spacing w:line="360" w:lineRule="auto"/>
        <w:ind w:firstLine="555"/>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委托代理人：（签字、盖章）</w:t>
      </w:r>
    </w:p>
    <w:p>
      <w:pPr>
        <w:spacing w:line="360" w:lineRule="auto"/>
        <w:ind w:firstLine="5964" w:firstLineChars="213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日期：    年   月   日</w:t>
      </w:r>
    </w:p>
    <w:p>
      <w:pPr>
        <w:spacing w:line="360" w:lineRule="auto"/>
        <w:ind w:firstLine="3654" w:firstLineChars="1300"/>
        <w:rPr>
          <w:rFonts w:asciiTheme="majorEastAsia" w:hAnsiTheme="majorEastAsia" w:eastAsiaTheme="majorEastAsia"/>
          <w:b/>
          <w:color w:val="000000" w:themeColor="text1"/>
          <w:sz w:val="28"/>
          <w:szCs w:val="28"/>
          <w14:textFill>
            <w14:solidFill>
              <w14:schemeClr w14:val="tx1"/>
            </w14:solidFill>
          </w14:textFill>
        </w:rPr>
      </w:pPr>
    </w:p>
    <w:p>
      <w:pPr>
        <w:spacing w:line="360" w:lineRule="auto"/>
        <w:ind w:firstLine="3855" w:firstLineChars="1200"/>
        <w:rPr>
          <w:rFonts w:hint="eastAsia" w:ascii="方正小标宋_GBK" w:hAnsi="方正小标宋_GBK" w:eastAsia="方正小标宋_GBK" w:cs="方正小标宋_GBK"/>
          <w:b/>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color w:val="000000" w:themeColor="text1"/>
          <w:sz w:val="32"/>
          <w:szCs w:val="32"/>
          <w14:textFill>
            <w14:solidFill>
              <w14:schemeClr w14:val="tx1"/>
            </w14:solidFill>
          </w14:textFill>
        </w:rPr>
        <w:t>第六章  辅助资料表</w:t>
      </w:r>
    </w:p>
    <w:p>
      <w:pPr>
        <w:pStyle w:val="6"/>
        <w:spacing w:line="360" w:lineRule="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表1  竞标单位基本情况表</w:t>
      </w:r>
    </w:p>
    <w:tbl>
      <w:tblPr>
        <w:tblStyle w:val="16"/>
        <w:tblW w:w="906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526"/>
        <w:gridCol w:w="13"/>
        <w:gridCol w:w="1065"/>
        <w:gridCol w:w="1473"/>
        <w:gridCol w:w="1131"/>
        <w:gridCol w:w="1716"/>
        <w:gridCol w:w="569"/>
        <w:gridCol w:w="15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0" w:hRule="atLeast"/>
          <w:jc w:val="center"/>
        </w:trPr>
        <w:tc>
          <w:tcPr>
            <w:tcW w:w="1539" w:type="dxa"/>
            <w:gridSpan w:val="2"/>
            <w:shd w:val="clear" w:color="auto" w:fill="auto"/>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单位名称</w:t>
            </w:r>
          </w:p>
        </w:tc>
        <w:tc>
          <w:tcPr>
            <w:tcW w:w="7523" w:type="dxa"/>
            <w:gridSpan w:val="6"/>
            <w:shd w:val="clear" w:color="auto" w:fill="auto"/>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28" w:hRule="atLeast"/>
          <w:jc w:val="center"/>
        </w:trPr>
        <w:tc>
          <w:tcPr>
            <w:tcW w:w="1539" w:type="dxa"/>
            <w:gridSpan w:val="2"/>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注册地址</w:t>
            </w:r>
          </w:p>
        </w:tc>
        <w:tc>
          <w:tcPr>
            <w:tcW w:w="3669" w:type="dxa"/>
            <w:gridSpan w:val="3"/>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285" w:type="dxa"/>
            <w:gridSpan w:val="2"/>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邮政编码</w:t>
            </w:r>
          </w:p>
        </w:tc>
        <w:tc>
          <w:tcPr>
            <w:tcW w:w="156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550" w:hRule="atLeast"/>
          <w:jc w:val="center"/>
        </w:trPr>
        <w:tc>
          <w:tcPr>
            <w:tcW w:w="1539" w:type="dxa"/>
            <w:gridSpan w:val="2"/>
            <w:vMerge w:val="restart"/>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联系方式</w:t>
            </w:r>
          </w:p>
        </w:tc>
        <w:tc>
          <w:tcPr>
            <w:tcW w:w="1065"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w:t>
            </w:r>
          </w:p>
        </w:tc>
        <w:tc>
          <w:tcPr>
            <w:tcW w:w="2604" w:type="dxa"/>
            <w:gridSpan w:val="2"/>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285" w:type="dxa"/>
            <w:gridSpan w:val="2"/>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w:t>
            </w:r>
          </w:p>
        </w:tc>
        <w:tc>
          <w:tcPr>
            <w:tcW w:w="156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2" w:hRule="atLeast"/>
          <w:jc w:val="center"/>
        </w:trPr>
        <w:tc>
          <w:tcPr>
            <w:tcW w:w="1539" w:type="dxa"/>
            <w:gridSpan w:val="2"/>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65"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传  真</w:t>
            </w:r>
          </w:p>
        </w:tc>
        <w:tc>
          <w:tcPr>
            <w:tcW w:w="2604" w:type="dxa"/>
            <w:gridSpan w:val="2"/>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285" w:type="dxa"/>
            <w:gridSpan w:val="2"/>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电子邮箱</w:t>
            </w:r>
          </w:p>
        </w:tc>
        <w:tc>
          <w:tcPr>
            <w:tcW w:w="156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0" w:hRule="atLeast"/>
          <w:jc w:val="center"/>
        </w:trPr>
        <w:tc>
          <w:tcPr>
            <w:tcW w:w="1526"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企业性质</w:t>
            </w:r>
          </w:p>
        </w:tc>
        <w:tc>
          <w:tcPr>
            <w:tcW w:w="7536" w:type="dxa"/>
            <w:gridSpan w:val="7"/>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03" w:hRule="atLeast"/>
          <w:jc w:val="center"/>
        </w:trPr>
        <w:tc>
          <w:tcPr>
            <w:tcW w:w="1526"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法定代表人</w:t>
            </w:r>
          </w:p>
        </w:tc>
        <w:tc>
          <w:tcPr>
            <w:tcW w:w="1078" w:type="dxa"/>
            <w:gridSpan w:val="2"/>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姓名</w:t>
            </w:r>
          </w:p>
        </w:tc>
        <w:tc>
          <w:tcPr>
            <w:tcW w:w="147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31"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技术职称</w:t>
            </w:r>
          </w:p>
        </w:tc>
        <w:tc>
          <w:tcPr>
            <w:tcW w:w="171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569"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w:t>
            </w:r>
          </w:p>
        </w:tc>
        <w:tc>
          <w:tcPr>
            <w:tcW w:w="156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0" w:hRule="atLeast"/>
          <w:jc w:val="center"/>
        </w:trPr>
        <w:tc>
          <w:tcPr>
            <w:tcW w:w="1526"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技术负责人</w:t>
            </w:r>
          </w:p>
        </w:tc>
        <w:tc>
          <w:tcPr>
            <w:tcW w:w="1078" w:type="dxa"/>
            <w:gridSpan w:val="2"/>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姓名</w:t>
            </w:r>
          </w:p>
        </w:tc>
        <w:tc>
          <w:tcPr>
            <w:tcW w:w="147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31"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技术职称</w:t>
            </w:r>
          </w:p>
        </w:tc>
        <w:tc>
          <w:tcPr>
            <w:tcW w:w="171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569"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w:t>
            </w:r>
          </w:p>
        </w:tc>
        <w:tc>
          <w:tcPr>
            <w:tcW w:w="156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0" w:hRule="atLeast"/>
          <w:jc w:val="center"/>
        </w:trPr>
        <w:tc>
          <w:tcPr>
            <w:tcW w:w="1526"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成立时间</w:t>
            </w:r>
          </w:p>
        </w:tc>
        <w:tc>
          <w:tcPr>
            <w:tcW w:w="2551" w:type="dxa"/>
            <w:gridSpan w:val="3"/>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4985" w:type="dxa"/>
            <w:gridSpan w:val="4"/>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员工总人数：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0" w:hRule="atLeast"/>
          <w:jc w:val="center"/>
        </w:trPr>
        <w:tc>
          <w:tcPr>
            <w:tcW w:w="1526"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企业资质等级</w:t>
            </w:r>
          </w:p>
        </w:tc>
        <w:tc>
          <w:tcPr>
            <w:tcW w:w="2551" w:type="dxa"/>
            <w:gridSpan w:val="3"/>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31" w:type="dxa"/>
            <w:vMerge w:val="restart"/>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其中</w:t>
            </w:r>
          </w:p>
        </w:tc>
        <w:tc>
          <w:tcPr>
            <w:tcW w:w="1716"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高级职称人员</w:t>
            </w:r>
          </w:p>
        </w:tc>
        <w:tc>
          <w:tcPr>
            <w:tcW w:w="2138" w:type="dxa"/>
            <w:gridSpan w:val="2"/>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0" w:hRule="atLeast"/>
          <w:jc w:val="center"/>
        </w:trPr>
        <w:tc>
          <w:tcPr>
            <w:tcW w:w="1526"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营业执照号</w:t>
            </w:r>
          </w:p>
        </w:tc>
        <w:tc>
          <w:tcPr>
            <w:tcW w:w="2551" w:type="dxa"/>
            <w:gridSpan w:val="3"/>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31"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6"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中级职称人员</w:t>
            </w:r>
          </w:p>
        </w:tc>
        <w:tc>
          <w:tcPr>
            <w:tcW w:w="2138" w:type="dxa"/>
            <w:gridSpan w:val="2"/>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0" w:hRule="atLeast"/>
          <w:jc w:val="center"/>
        </w:trPr>
        <w:tc>
          <w:tcPr>
            <w:tcW w:w="1526"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注册资金</w:t>
            </w:r>
          </w:p>
        </w:tc>
        <w:tc>
          <w:tcPr>
            <w:tcW w:w="2551" w:type="dxa"/>
            <w:gridSpan w:val="3"/>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31"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6"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初级职称人员</w:t>
            </w:r>
          </w:p>
        </w:tc>
        <w:tc>
          <w:tcPr>
            <w:tcW w:w="2138" w:type="dxa"/>
            <w:gridSpan w:val="2"/>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0" w:hRule="atLeast"/>
          <w:jc w:val="center"/>
        </w:trPr>
        <w:tc>
          <w:tcPr>
            <w:tcW w:w="1526"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开户银行</w:t>
            </w:r>
          </w:p>
        </w:tc>
        <w:tc>
          <w:tcPr>
            <w:tcW w:w="2551" w:type="dxa"/>
            <w:gridSpan w:val="3"/>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31"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6"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技术工人</w:t>
            </w:r>
          </w:p>
        </w:tc>
        <w:tc>
          <w:tcPr>
            <w:tcW w:w="2138" w:type="dxa"/>
            <w:gridSpan w:val="2"/>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0" w:hRule="atLeast"/>
          <w:jc w:val="center"/>
        </w:trPr>
        <w:tc>
          <w:tcPr>
            <w:tcW w:w="1526"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帐  号</w:t>
            </w:r>
          </w:p>
        </w:tc>
        <w:tc>
          <w:tcPr>
            <w:tcW w:w="2551" w:type="dxa"/>
            <w:gridSpan w:val="3"/>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31" w:type="dxa"/>
            <w:vMerge w:val="continue"/>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6"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其他人员</w:t>
            </w:r>
          </w:p>
        </w:tc>
        <w:tc>
          <w:tcPr>
            <w:tcW w:w="2138" w:type="dxa"/>
            <w:gridSpan w:val="2"/>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0" w:hRule="atLeast"/>
          <w:jc w:val="center"/>
        </w:trPr>
        <w:tc>
          <w:tcPr>
            <w:tcW w:w="1526"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经营范围</w:t>
            </w:r>
          </w:p>
        </w:tc>
        <w:tc>
          <w:tcPr>
            <w:tcW w:w="7536" w:type="dxa"/>
            <w:gridSpan w:val="7"/>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20" w:hRule="atLeast"/>
          <w:jc w:val="center"/>
        </w:trPr>
        <w:tc>
          <w:tcPr>
            <w:tcW w:w="1526"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备注</w:t>
            </w:r>
          </w:p>
        </w:tc>
        <w:tc>
          <w:tcPr>
            <w:tcW w:w="7536" w:type="dxa"/>
            <w:gridSpan w:val="7"/>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bl>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说明：本表后应附投标单位的处于有效期内的营业执照、资质证书、安全生产许可证、质量认证文件等的复印件，并加盖公章。</w:t>
      </w:r>
    </w:p>
    <w:p>
      <w:pPr>
        <w:pStyle w:val="6"/>
        <w:spacing w:line="360" w:lineRule="auto"/>
        <w:ind w:firstLine="2389" w:firstLineChars="850"/>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表2  拟任命的项目经理简历表</w:t>
      </w:r>
    </w:p>
    <w:tbl>
      <w:tblPr>
        <w:tblStyle w:val="17"/>
        <w:tblpPr w:leftFromText="180" w:rightFromText="180" w:vertAnchor="text" w:horzAnchor="page" w:tblpX="1623" w:tblpY="840"/>
        <w:tblOverlap w:val="never"/>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853"/>
        <w:gridCol w:w="1128"/>
        <w:gridCol w:w="1733"/>
        <w:gridCol w:w="1128"/>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姓名</w:t>
            </w: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性别</w:t>
            </w: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年龄</w:t>
            </w: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学历</w:t>
            </w: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职称</w:t>
            </w: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专业</w:t>
            </w: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267" w:type="dxa"/>
            <w:gridSpan w:val="2"/>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参加工作时间</w:t>
            </w: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861" w:type="dxa"/>
            <w:gridSpan w:val="2"/>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从事项目经理年限</w:t>
            </w: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302" w:type="dxa"/>
            <w:gridSpan w:val="6"/>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担任项目经理经历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时间</w:t>
            </w:r>
          </w:p>
        </w:tc>
        <w:tc>
          <w:tcPr>
            <w:tcW w:w="1853"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项目名称</w:t>
            </w:r>
          </w:p>
        </w:tc>
        <w:tc>
          <w:tcPr>
            <w:tcW w:w="1128"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合同金额</w:t>
            </w:r>
          </w:p>
        </w:tc>
        <w:tc>
          <w:tcPr>
            <w:tcW w:w="1733"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w:t>
            </w:r>
          </w:p>
        </w:tc>
        <w:tc>
          <w:tcPr>
            <w:tcW w:w="1128"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工程质量</w:t>
            </w:r>
          </w:p>
        </w:tc>
        <w:tc>
          <w:tcPr>
            <w:tcW w:w="1046"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bl>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说明：本表后应附项目经理的身份证、职称证、建造师证、安全证的复印件。</w:t>
      </w: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b/>
          <w:color w:val="000000" w:themeColor="text1"/>
          <w:sz w:val="28"/>
          <w:szCs w:val="28"/>
          <w14:textFill>
            <w14:solidFill>
              <w14:schemeClr w14:val="tx1"/>
            </w14:solidFill>
          </w14:textFill>
        </w:rPr>
      </w:pPr>
    </w:p>
    <w:p>
      <w:pPr>
        <w:pStyle w:val="6"/>
        <w:spacing w:line="360" w:lineRule="auto"/>
        <w:ind w:firstLine="1827" w:firstLineChars="650"/>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表3  拟任命的技术负责人简历表</w:t>
      </w: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说明本表后应附技术负责人的身份证、职称证、安全证的复印件。</w:t>
      </w:r>
    </w:p>
    <w:tbl>
      <w:tblPr>
        <w:tblStyle w:val="17"/>
        <w:tblpPr w:leftFromText="180" w:rightFromText="180" w:vertAnchor="text" w:horzAnchor="margin" w:tblpY="425"/>
        <w:tblOverlap w:val="never"/>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1853"/>
        <w:gridCol w:w="1128"/>
        <w:gridCol w:w="1733"/>
        <w:gridCol w:w="1128"/>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姓名</w:t>
            </w: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性别</w:t>
            </w: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年龄</w:t>
            </w: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学历</w:t>
            </w: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职称</w:t>
            </w: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专业</w:t>
            </w: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267" w:type="dxa"/>
            <w:gridSpan w:val="2"/>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参加工作时间</w:t>
            </w: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861" w:type="dxa"/>
            <w:gridSpan w:val="2"/>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从事技术负责人年限</w:t>
            </w: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302" w:type="dxa"/>
            <w:gridSpan w:val="6"/>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担任技术负责人经历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时间</w:t>
            </w:r>
          </w:p>
        </w:tc>
        <w:tc>
          <w:tcPr>
            <w:tcW w:w="1853"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项目名称</w:t>
            </w:r>
          </w:p>
        </w:tc>
        <w:tc>
          <w:tcPr>
            <w:tcW w:w="1128"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合同金额</w:t>
            </w:r>
          </w:p>
        </w:tc>
        <w:tc>
          <w:tcPr>
            <w:tcW w:w="1733"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w:t>
            </w:r>
          </w:p>
        </w:tc>
        <w:tc>
          <w:tcPr>
            <w:tcW w:w="1128"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工程质量</w:t>
            </w:r>
          </w:p>
        </w:tc>
        <w:tc>
          <w:tcPr>
            <w:tcW w:w="1046"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1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85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33"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1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046"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bl>
    <w:p>
      <w:pPr>
        <w:pStyle w:val="6"/>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br w:type="page"/>
      </w:r>
      <w:r>
        <w:rPr>
          <w:rFonts w:hint="eastAsia" w:ascii="方正仿宋_GBK" w:hAnsi="方正仿宋_GBK" w:eastAsia="方正仿宋_GBK" w:cs="方正仿宋_GBK"/>
          <w:b/>
          <w:color w:val="000000" w:themeColor="text1"/>
          <w:sz w:val="28"/>
          <w:szCs w:val="28"/>
          <w14:textFill>
            <w14:solidFill>
              <w14:schemeClr w14:val="tx1"/>
            </w14:solidFill>
          </w14:textFill>
        </w:rPr>
        <w:t>表4  其他主要专业人员明细表</w:t>
      </w:r>
    </w:p>
    <w:tbl>
      <w:tblPr>
        <w:tblStyle w:val="17"/>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310"/>
        <w:gridCol w:w="2007"/>
        <w:gridCol w:w="1659"/>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67"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职务</w:t>
            </w:r>
          </w:p>
        </w:tc>
        <w:tc>
          <w:tcPr>
            <w:tcW w:w="1310"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姓名</w:t>
            </w:r>
          </w:p>
        </w:tc>
        <w:tc>
          <w:tcPr>
            <w:tcW w:w="2007"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身份证号码</w:t>
            </w:r>
          </w:p>
        </w:tc>
        <w:tc>
          <w:tcPr>
            <w:tcW w:w="1659"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技术职称</w:t>
            </w:r>
          </w:p>
        </w:tc>
        <w:tc>
          <w:tcPr>
            <w:tcW w:w="1659"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67" w:type="dxa"/>
            <w:vAlign w:val="center"/>
          </w:tcPr>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1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00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67"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1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00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67" w:type="dxa"/>
            <w:vAlign w:val="center"/>
          </w:tcPr>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1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00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67" w:type="dxa"/>
            <w:vAlign w:val="center"/>
          </w:tcPr>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1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00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67" w:type="dxa"/>
            <w:vAlign w:val="center"/>
          </w:tcPr>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1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00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67" w:type="dxa"/>
            <w:vAlign w:val="center"/>
          </w:tcPr>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1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00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67" w:type="dxa"/>
            <w:vAlign w:val="center"/>
          </w:tcPr>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1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00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67" w:type="dxa"/>
            <w:vAlign w:val="center"/>
          </w:tcPr>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1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00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67"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w:t>
            </w:r>
          </w:p>
        </w:tc>
        <w:tc>
          <w:tcPr>
            <w:tcW w:w="131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00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bl>
    <w:p>
      <w:pPr>
        <w:pStyle w:val="6"/>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br w:type="page"/>
      </w:r>
      <w:r>
        <w:rPr>
          <w:rFonts w:hint="eastAsia" w:ascii="方正仿宋_GBK" w:hAnsi="方正仿宋_GBK" w:eastAsia="方正仿宋_GBK" w:cs="方正仿宋_GBK"/>
          <w:b/>
          <w:color w:val="000000" w:themeColor="text1"/>
          <w:sz w:val="28"/>
          <w:szCs w:val="28"/>
          <w14:textFill>
            <w14:solidFill>
              <w14:schemeClr w14:val="tx1"/>
            </w14:solidFill>
          </w14:textFill>
        </w:rPr>
        <w:t>表5  拟投入本项目的主要施工机械表</w:t>
      </w:r>
    </w:p>
    <w:tbl>
      <w:tblPr>
        <w:tblStyle w:val="17"/>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19"/>
        <w:gridCol w:w="1444"/>
        <w:gridCol w:w="1430"/>
        <w:gridCol w:w="133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8"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序号</w:t>
            </w:r>
          </w:p>
        </w:tc>
        <w:tc>
          <w:tcPr>
            <w:tcW w:w="1719"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机械设备名称</w:t>
            </w:r>
          </w:p>
        </w:tc>
        <w:tc>
          <w:tcPr>
            <w:tcW w:w="1444"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规格型号</w:t>
            </w:r>
          </w:p>
        </w:tc>
        <w:tc>
          <w:tcPr>
            <w:tcW w:w="1430"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数量</w:t>
            </w:r>
          </w:p>
        </w:tc>
        <w:tc>
          <w:tcPr>
            <w:tcW w:w="1330"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出场年份</w:t>
            </w:r>
          </w:p>
        </w:tc>
        <w:tc>
          <w:tcPr>
            <w:tcW w:w="1551"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44"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5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4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5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4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5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4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5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4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5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4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5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4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5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4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5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4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5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4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5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4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5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4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5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4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5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4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5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4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5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28"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719"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44"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4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330"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55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bl>
    <w:p>
      <w:pPr>
        <w:pStyle w:val="6"/>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p>
    <w:p>
      <w:pPr>
        <w:widowControl/>
        <w:jc w:val="left"/>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br w:type="page"/>
      </w:r>
    </w:p>
    <w:p>
      <w:pPr>
        <w:pStyle w:val="6"/>
        <w:spacing w:line="360" w:lineRule="auto"/>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表6  近五年完成的类似项目表</w:t>
      </w: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说明：竞标单位可在本表后附相关证明材料。</w:t>
      </w:r>
    </w:p>
    <w:tbl>
      <w:tblPr>
        <w:tblStyle w:val="17"/>
        <w:tblpPr w:leftFromText="180" w:rightFromText="180" w:vertAnchor="text" w:horzAnchor="page" w:tblpXSpec="center" w:tblpY="114"/>
        <w:tblOverlap w:val="never"/>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372"/>
        <w:gridCol w:w="1661"/>
        <w:gridCol w:w="1661"/>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951"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序号</w:t>
            </w:r>
          </w:p>
        </w:tc>
        <w:tc>
          <w:tcPr>
            <w:tcW w:w="1372"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p>
        </w:tc>
        <w:tc>
          <w:tcPr>
            <w:tcW w:w="1661"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w:t>
            </w:r>
          </w:p>
        </w:tc>
        <w:tc>
          <w:tcPr>
            <w:tcW w:w="1661" w:type="dxa"/>
            <w:vAlign w:val="center"/>
          </w:tcPr>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w:t>
            </w:r>
          </w:p>
        </w:tc>
        <w:tc>
          <w:tcPr>
            <w:tcW w:w="165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951"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项目名称</w:t>
            </w:r>
          </w:p>
        </w:tc>
        <w:tc>
          <w:tcPr>
            <w:tcW w:w="1372"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951"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项目所在地</w:t>
            </w:r>
          </w:p>
        </w:tc>
        <w:tc>
          <w:tcPr>
            <w:tcW w:w="1372"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951"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发包人名称</w:t>
            </w:r>
          </w:p>
        </w:tc>
        <w:tc>
          <w:tcPr>
            <w:tcW w:w="1372"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951"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发包人地址</w:t>
            </w:r>
          </w:p>
        </w:tc>
        <w:tc>
          <w:tcPr>
            <w:tcW w:w="1372"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951"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发包人电话</w:t>
            </w:r>
          </w:p>
        </w:tc>
        <w:tc>
          <w:tcPr>
            <w:tcW w:w="1372"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951"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监理单位名称</w:t>
            </w:r>
          </w:p>
        </w:tc>
        <w:tc>
          <w:tcPr>
            <w:tcW w:w="1372"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951"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监理单位电话</w:t>
            </w:r>
          </w:p>
        </w:tc>
        <w:tc>
          <w:tcPr>
            <w:tcW w:w="1372"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951"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合同金额</w:t>
            </w:r>
          </w:p>
        </w:tc>
        <w:tc>
          <w:tcPr>
            <w:tcW w:w="1372"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951"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开工日期</w:t>
            </w:r>
          </w:p>
        </w:tc>
        <w:tc>
          <w:tcPr>
            <w:tcW w:w="1372"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951"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竣工日期</w:t>
            </w:r>
          </w:p>
        </w:tc>
        <w:tc>
          <w:tcPr>
            <w:tcW w:w="1372"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951"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工程质量</w:t>
            </w:r>
          </w:p>
        </w:tc>
        <w:tc>
          <w:tcPr>
            <w:tcW w:w="1372"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951"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项目经理</w:t>
            </w:r>
          </w:p>
        </w:tc>
        <w:tc>
          <w:tcPr>
            <w:tcW w:w="1372"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0" w:hRule="atLeast"/>
          <w:jc w:val="center"/>
        </w:trPr>
        <w:tc>
          <w:tcPr>
            <w:tcW w:w="1951"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项目主要工程量</w:t>
            </w:r>
          </w:p>
        </w:tc>
        <w:tc>
          <w:tcPr>
            <w:tcW w:w="1372"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951" w:type="dxa"/>
            <w:vAlign w:val="center"/>
          </w:tcPr>
          <w:p>
            <w:pPr>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备注</w:t>
            </w:r>
          </w:p>
        </w:tc>
        <w:tc>
          <w:tcPr>
            <w:tcW w:w="1372"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61"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1657" w:type="dxa"/>
            <w:vAlign w:val="center"/>
          </w:tcPr>
          <w:p>
            <w:pPr>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p>
        </w:tc>
      </w:tr>
    </w:tbl>
    <w:p>
      <w:pPr>
        <w:pStyle w:val="6"/>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pStyle w:val="6"/>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pStyle w:val="6"/>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pStyle w:val="6"/>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pStyle w:val="6"/>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widowControl/>
        <w:jc w:val="left"/>
        <w:rPr>
          <w:rFonts w:asciiTheme="majorEastAsia" w:hAnsiTheme="majorEastAsia" w:eastAsiaTheme="majorEastAsia"/>
          <w:b/>
          <w:color w:val="000000" w:themeColor="text1"/>
          <w:sz w:val="28"/>
          <w:szCs w:val="28"/>
          <w14:textFill>
            <w14:solidFill>
              <w14:schemeClr w14:val="tx1"/>
            </w14:solidFill>
          </w14:textFill>
        </w:rPr>
      </w:pPr>
      <w:r>
        <w:rPr>
          <w:rFonts w:asciiTheme="majorEastAsia" w:hAnsiTheme="majorEastAsia" w:eastAsiaTheme="majorEastAsia"/>
          <w:b/>
          <w:color w:val="000000" w:themeColor="text1"/>
          <w:sz w:val="28"/>
          <w:szCs w:val="28"/>
          <w14:textFill>
            <w14:solidFill>
              <w14:schemeClr w14:val="tx1"/>
            </w14:solidFill>
          </w14:textFill>
        </w:rPr>
        <w:br w:type="page"/>
      </w:r>
    </w:p>
    <w:p>
      <w:pPr>
        <w:pStyle w:val="6"/>
        <w:spacing w:line="360" w:lineRule="auto"/>
        <w:jc w:val="center"/>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color w:val="000000" w:themeColor="text1"/>
          <w:sz w:val="28"/>
          <w:szCs w:val="28"/>
          <w14:textFill>
            <w14:solidFill>
              <w14:schemeClr w14:val="tx1"/>
            </w14:solidFill>
          </w14:textFill>
        </w:rPr>
        <w:t>表7  施工组织设计</w:t>
      </w: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竞标单位应递交完整的施工组织设计，至少应包括以下内容：</w:t>
      </w: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1、承担项目的工程概况</w:t>
      </w: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2、人员、设备、材料的进场计划及安排</w:t>
      </w: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3、总体工期及节点工期安排</w:t>
      </w: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4、各分部分项工程的施工方案、施工方法</w:t>
      </w: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5、工程施工进度计划及安排</w:t>
      </w: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6、确保质量和工期的措施</w:t>
      </w: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7、冬、雨季施工措施</w:t>
      </w: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8、质量、安全保证 </w:t>
      </w: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9、其他需要说明的事项</w:t>
      </w:r>
    </w:p>
    <w:p>
      <w:pPr>
        <w:spacing w:line="360" w:lineRule="auto"/>
        <w:rPr>
          <w:rFonts w:asciiTheme="majorEastAsia" w:hAnsiTheme="majorEastAsia" w:eastAsiaTheme="majorEastAsia"/>
          <w:color w:val="000000" w:themeColor="text1"/>
          <w:sz w:val="28"/>
          <w:szCs w:val="28"/>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spacing w:line="360" w:lineRule="auto"/>
        <w:jc w:val="both"/>
        <w:rPr>
          <w:rFonts w:hint="eastAsia" w:ascii="宋体" w:hAnsi="宋体" w:cs="宋体"/>
          <w:b/>
          <w:bCs/>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hint="eastAsia" w:asciiTheme="majorEastAsia" w:hAnsiTheme="majorEastAsia" w:eastAsiaTheme="majorEastAsia"/>
          <w:b/>
          <w:color w:val="000000" w:themeColor="text1"/>
          <w:sz w:val="28"/>
          <w:szCs w:val="28"/>
          <w14:textFill>
            <w14:solidFill>
              <w14:schemeClr w14:val="tx1"/>
            </w14:solidFill>
          </w14:textFill>
        </w:rPr>
      </w:pPr>
    </w:p>
    <w:p>
      <w:pPr>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r>
        <w:rPr>
          <w:rFonts w:hint="eastAsia" w:ascii="方正小标宋_GBK" w:hAnsi="方正小标宋_GBK" w:eastAsia="方正小标宋_GBK" w:cs="方正小标宋_GBK"/>
          <w:b/>
          <w:color w:val="000000" w:themeColor="text1"/>
          <w:sz w:val="28"/>
          <w:szCs w:val="28"/>
          <w14:textFill>
            <w14:solidFill>
              <w14:schemeClr w14:val="tx1"/>
            </w14:solidFill>
          </w14:textFill>
        </w:rPr>
        <w:t>第七章 比选评标办法（综合评标法）</w:t>
      </w:r>
    </w:p>
    <w:p>
      <w:pPr>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p>
    <w:p>
      <w:pPr>
        <w:pStyle w:val="6"/>
        <w:spacing w:line="360" w:lineRule="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一、评标细则</w:t>
      </w:r>
    </w:p>
    <w:p>
      <w:pPr>
        <w:pStyle w:val="6"/>
        <w:spacing w:line="360" w:lineRule="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（一）评标主要内容</w:t>
      </w:r>
    </w:p>
    <w:p>
      <w:pPr>
        <w:pStyle w:val="6"/>
        <w:spacing w:line="360" w:lineRule="auto"/>
        <w:ind w:firstLine="560" w:firstLineChars="200"/>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评标采用百分制，主要以工程报价、工期、单位资质、人员及设备投入、施工业绩、施工组织设计等为依据，评标项目分值如下：</w:t>
      </w:r>
    </w:p>
    <w:tbl>
      <w:tblPr>
        <w:tblStyle w:val="16"/>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5"/>
        <w:gridCol w:w="2183"/>
        <w:gridCol w:w="3738"/>
        <w:gridCol w:w="702"/>
        <w:gridCol w:w="786"/>
        <w:gridCol w:w="1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5"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218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项  目</w:t>
            </w:r>
          </w:p>
        </w:tc>
        <w:tc>
          <w:tcPr>
            <w:tcW w:w="3738"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评分标准</w:t>
            </w:r>
          </w:p>
        </w:tc>
        <w:tc>
          <w:tcPr>
            <w:tcW w:w="702"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标准分值</w:t>
            </w:r>
          </w:p>
        </w:tc>
        <w:tc>
          <w:tcPr>
            <w:tcW w:w="786"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实得分</w:t>
            </w:r>
          </w:p>
        </w:tc>
        <w:tc>
          <w:tcPr>
            <w:tcW w:w="172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5"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一</w:t>
            </w:r>
          </w:p>
        </w:tc>
        <w:tc>
          <w:tcPr>
            <w:tcW w:w="218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投标报价</w:t>
            </w:r>
          </w:p>
        </w:tc>
        <w:tc>
          <w:tcPr>
            <w:tcW w:w="3738"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基准价得</w:t>
            </w:r>
            <w:r>
              <w:rPr>
                <w:rFonts w:hint="eastAsia" w:ascii="方正仿宋_GBK" w:hAnsi="方正仿宋_GBK" w:eastAsia="方正仿宋_GBK" w:cs="方正仿宋_GBK"/>
                <w:szCs w:val="21"/>
                <w:lang w:val="en-US" w:eastAsia="zh-CN"/>
              </w:rPr>
              <w:t>70</w:t>
            </w:r>
            <w:r>
              <w:rPr>
                <w:rFonts w:hint="eastAsia" w:ascii="方正仿宋_GBK" w:hAnsi="方正仿宋_GBK" w:eastAsia="方正仿宋_GBK" w:cs="方正仿宋_GBK"/>
                <w:szCs w:val="21"/>
              </w:rPr>
              <w:t>分</w:t>
            </w:r>
            <w:r>
              <w:rPr>
                <w:rFonts w:hint="eastAsia" w:ascii="方正仿宋_GBK" w:hAnsi="方正仿宋_GBK" w:eastAsia="方正仿宋_GBK" w:cs="方正仿宋_GBK"/>
                <w:szCs w:val="21"/>
                <w:lang w:eastAsia="zh-CN"/>
              </w:rPr>
              <w:t>；</w:t>
            </w:r>
          </w:p>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高于基准价每1%，减1分；最低分为0分</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rPr>
              <w:t>得分插值计算</w:t>
            </w:r>
            <w:r>
              <w:rPr>
                <w:rFonts w:hint="eastAsia" w:ascii="方正仿宋_GBK" w:hAnsi="方正仿宋_GBK" w:eastAsia="方正仿宋_GBK" w:cs="方正仿宋_GBK"/>
                <w:szCs w:val="21"/>
                <w:lang w:eastAsia="zh-CN"/>
              </w:rPr>
              <w:t>，保留两位小数；</w:t>
            </w:r>
          </w:p>
        </w:tc>
        <w:tc>
          <w:tcPr>
            <w:tcW w:w="702"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70</w:t>
            </w:r>
          </w:p>
        </w:tc>
        <w:tc>
          <w:tcPr>
            <w:tcW w:w="786"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p>
        </w:tc>
        <w:tc>
          <w:tcPr>
            <w:tcW w:w="172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以有效投标单位中的最低价作为基准价。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5"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二</w:t>
            </w:r>
          </w:p>
        </w:tc>
        <w:tc>
          <w:tcPr>
            <w:tcW w:w="218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资质</w:t>
            </w:r>
            <w:r>
              <w:rPr>
                <w:rFonts w:hint="eastAsia" w:ascii="方正仿宋_GBK" w:hAnsi="方正仿宋_GBK" w:eastAsia="方正仿宋_GBK" w:cs="方正仿宋_GBK"/>
                <w:szCs w:val="21"/>
                <w:lang w:eastAsia="zh-CN"/>
              </w:rPr>
              <w:t>和质量要求</w:t>
            </w:r>
          </w:p>
        </w:tc>
        <w:tc>
          <w:tcPr>
            <w:tcW w:w="3738"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rPr>
            </w:pPr>
          </w:p>
        </w:tc>
        <w:tc>
          <w:tcPr>
            <w:tcW w:w="702"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15</w:t>
            </w:r>
          </w:p>
        </w:tc>
        <w:tc>
          <w:tcPr>
            <w:tcW w:w="786"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p>
        </w:tc>
        <w:tc>
          <w:tcPr>
            <w:tcW w:w="172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5"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2.1</w:t>
            </w:r>
          </w:p>
        </w:tc>
        <w:tc>
          <w:tcPr>
            <w:tcW w:w="218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资质证书</w:t>
            </w:r>
          </w:p>
        </w:tc>
        <w:tc>
          <w:tcPr>
            <w:tcW w:w="3738" w:type="dxa"/>
            <w:vAlign w:val="center"/>
          </w:tcPr>
          <w:p>
            <w:pPr>
              <w:pStyle w:val="30"/>
              <w:keepNext w:val="0"/>
              <w:keepLines w:val="0"/>
              <w:pageBreakBefore w:val="0"/>
              <w:widowControl w:val="0"/>
              <w:numPr>
                <w:ilvl w:val="0"/>
                <w:numId w:val="4"/>
              </w:numPr>
              <w:kinsoku/>
              <w:wordWrap/>
              <w:overflowPunct/>
              <w:topLinePunct w:val="0"/>
              <w:autoSpaceDE/>
              <w:autoSpaceDN/>
              <w:bidi w:val="0"/>
              <w:adjustRightInd/>
              <w:snapToGrid/>
              <w:spacing w:line="240" w:lineRule="auto"/>
              <w:ind w:left="210" w:hanging="210" w:hangingChars="1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eastAsia="zh-CN"/>
              </w:rPr>
              <w:t>现场作业人员特种行业操作证书</w:t>
            </w:r>
            <w:r>
              <w:rPr>
                <w:rFonts w:hint="eastAsia" w:ascii="方正仿宋_GBK" w:hAnsi="方正仿宋_GBK" w:eastAsia="方正仿宋_GBK" w:cs="方正仿宋_GBK"/>
                <w:szCs w:val="21"/>
                <w:lang w:val="en-US" w:eastAsia="zh-CN"/>
              </w:rPr>
              <w:t>10人</w:t>
            </w:r>
            <w:r>
              <w:rPr>
                <w:rFonts w:hint="eastAsia" w:ascii="方正仿宋_GBK" w:hAnsi="方正仿宋_GBK" w:eastAsia="方正仿宋_GBK" w:cs="方正仿宋_GBK"/>
                <w:szCs w:val="21"/>
                <w:lang w:eastAsia="zh-CN"/>
              </w:rPr>
              <w:t>得</w:t>
            </w:r>
            <w:r>
              <w:rPr>
                <w:rFonts w:hint="eastAsia" w:ascii="方正仿宋_GBK" w:hAnsi="方正仿宋_GBK" w:eastAsia="方正仿宋_GBK" w:cs="方正仿宋_GBK"/>
                <w:szCs w:val="21"/>
                <w:lang w:val="en-US" w:eastAsia="zh-CN"/>
              </w:rPr>
              <w:t>5分；</w:t>
            </w:r>
          </w:p>
          <w:p>
            <w:pPr>
              <w:pStyle w:val="30"/>
              <w:keepNext w:val="0"/>
              <w:keepLines w:val="0"/>
              <w:pageBreakBefore w:val="0"/>
              <w:widowControl w:val="0"/>
              <w:numPr>
                <w:ilvl w:val="0"/>
                <w:numId w:val="4"/>
              </w:numPr>
              <w:kinsoku/>
              <w:wordWrap/>
              <w:overflowPunct/>
              <w:topLinePunct w:val="0"/>
              <w:autoSpaceDE/>
              <w:autoSpaceDN/>
              <w:bidi w:val="0"/>
              <w:adjustRightInd/>
              <w:snapToGrid/>
              <w:spacing w:line="240" w:lineRule="auto"/>
              <w:ind w:left="210" w:leftChars="0" w:hanging="210" w:hangingChars="1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eastAsia="zh-CN"/>
              </w:rPr>
              <w:t>特种设备操作证书（叉车），得</w:t>
            </w:r>
            <w:r>
              <w:rPr>
                <w:rFonts w:hint="eastAsia" w:ascii="方正仿宋_GBK" w:hAnsi="方正仿宋_GBK" w:eastAsia="方正仿宋_GBK" w:cs="方正仿宋_GBK"/>
                <w:szCs w:val="21"/>
                <w:lang w:val="en-US" w:eastAsia="zh-CN"/>
              </w:rPr>
              <w:t>2分；</w:t>
            </w:r>
          </w:p>
          <w:p>
            <w:pPr>
              <w:pStyle w:val="30"/>
              <w:keepNext w:val="0"/>
              <w:keepLines w:val="0"/>
              <w:pageBreakBefore w:val="0"/>
              <w:widowControl w:val="0"/>
              <w:numPr>
                <w:ilvl w:val="0"/>
                <w:numId w:val="4"/>
              </w:numPr>
              <w:kinsoku/>
              <w:wordWrap/>
              <w:overflowPunct/>
              <w:topLinePunct w:val="0"/>
              <w:autoSpaceDE/>
              <w:autoSpaceDN/>
              <w:bidi w:val="0"/>
              <w:adjustRightInd/>
              <w:snapToGrid/>
              <w:spacing w:line="240" w:lineRule="auto"/>
              <w:ind w:left="210" w:leftChars="0" w:hanging="210" w:hangingChars="1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eastAsia="zh-CN"/>
              </w:rPr>
              <w:t>持有焊工证书</w:t>
            </w:r>
            <w:r>
              <w:rPr>
                <w:rFonts w:hint="eastAsia" w:ascii="方正仿宋_GBK" w:hAnsi="方正仿宋_GBK" w:eastAsia="方正仿宋_GBK" w:cs="方正仿宋_GBK"/>
                <w:szCs w:val="21"/>
                <w:lang w:val="en-US" w:eastAsia="zh-CN"/>
              </w:rPr>
              <w:t>10人，得3分；</w:t>
            </w:r>
          </w:p>
        </w:tc>
        <w:tc>
          <w:tcPr>
            <w:tcW w:w="702"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10</w:t>
            </w:r>
          </w:p>
        </w:tc>
        <w:tc>
          <w:tcPr>
            <w:tcW w:w="786"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p>
        </w:tc>
        <w:tc>
          <w:tcPr>
            <w:tcW w:w="172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5"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2.2</w:t>
            </w:r>
          </w:p>
        </w:tc>
        <w:tc>
          <w:tcPr>
            <w:tcW w:w="218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质量要求</w:t>
            </w:r>
          </w:p>
        </w:tc>
        <w:tc>
          <w:tcPr>
            <w:tcW w:w="3738" w:type="dxa"/>
            <w:vAlign w:val="center"/>
          </w:tcPr>
          <w:p>
            <w:pPr>
              <w:pStyle w:val="30"/>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100" w:firstLine="210" w:firstLineChars="10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综合质量评价，得3分；</w:t>
            </w:r>
          </w:p>
          <w:p>
            <w:pPr>
              <w:pStyle w:val="30"/>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100" w:firstLine="210" w:firstLineChars="100"/>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具有同类船舶建造业绩，得</w:t>
            </w:r>
            <w:r>
              <w:rPr>
                <w:rFonts w:hint="eastAsia" w:ascii="方正仿宋_GBK" w:hAnsi="方正仿宋_GBK" w:eastAsia="方正仿宋_GBK" w:cs="方正仿宋_GBK"/>
                <w:szCs w:val="21"/>
                <w:lang w:val="en-US" w:eastAsia="zh-CN"/>
              </w:rPr>
              <w:t>2分</w:t>
            </w:r>
          </w:p>
        </w:tc>
        <w:tc>
          <w:tcPr>
            <w:tcW w:w="702"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5</w:t>
            </w:r>
          </w:p>
        </w:tc>
        <w:tc>
          <w:tcPr>
            <w:tcW w:w="786"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p>
        </w:tc>
        <w:tc>
          <w:tcPr>
            <w:tcW w:w="172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5"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三</w:t>
            </w:r>
          </w:p>
        </w:tc>
        <w:tc>
          <w:tcPr>
            <w:tcW w:w="218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技术要求</w:t>
            </w:r>
          </w:p>
        </w:tc>
        <w:tc>
          <w:tcPr>
            <w:tcW w:w="3738" w:type="dxa"/>
            <w:vAlign w:val="center"/>
          </w:tcPr>
          <w:p>
            <w:pPr>
              <w:pStyle w:val="30"/>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配置技术管理人员，得2分；</w:t>
            </w:r>
          </w:p>
          <w:p>
            <w:pPr>
              <w:pStyle w:val="6"/>
              <w:spacing w:line="360" w:lineRule="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（2）综合技术评价，得3分；</w:t>
            </w:r>
          </w:p>
        </w:tc>
        <w:tc>
          <w:tcPr>
            <w:tcW w:w="702"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5</w:t>
            </w:r>
          </w:p>
        </w:tc>
        <w:tc>
          <w:tcPr>
            <w:tcW w:w="786"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p>
        </w:tc>
        <w:tc>
          <w:tcPr>
            <w:tcW w:w="172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5"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四</w:t>
            </w:r>
          </w:p>
        </w:tc>
        <w:tc>
          <w:tcPr>
            <w:tcW w:w="218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工期要求和服务承诺</w:t>
            </w:r>
          </w:p>
        </w:tc>
        <w:tc>
          <w:tcPr>
            <w:tcW w:w="3738"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lang w:eastAsia="zh-CN"/>
              </w:rPr>
            </w:pPr>
          </w:p>
        </w:tc>
        <w:tc>
          <w:tcPr>
            <w:tcW w:w="702"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7</w:t>
            </w:r>
          </w:p>
        </w:tc>
        <w:tc>
          <w:tcPr>
            <w:tcW w:w="786"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p>
        </w:tc>
        <w:tc>
          <w:tcPr>
            <w:tcW w:w="172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5"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4.1</w:t>
            </w:r>
          </w:p>
        </w:tc>
        <w:tc>
          <w:tcPr>
            <w:tcW w:w="218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服务承诺</w:t>
            </w:r>
          </w:p>
        </w:tc>
        <w:tc>
          <w:tcPr>
            <w:tcW w:w="3738" w:type="dxa"/>
            <w:vAlign w:val="center"/>
          </w:tcPr>
          <w:p>
            <w:pPr>
              <w:spacing w:line="420" w:lineRule="exact"/>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lang w:eastAsia="zh-CN"/>
              </w:rPr>
              <w:t>）售后：</w:t>
            </w:r>
            <w:r>
              <w:rPr>
                <w:rFonts w:hint="eastAsia" w:ascii="方正仿宋_GBK" w:hAnsi="方正仿宋_GBK" w:eastAsia="方正仿宋_GBK" w:cs="方正仿宋_GBK"/>
                <w:color w:val="000000" w:themeColor="text1"/>
                <w:sz w:val="21"/>
                <w:szCs w:val="21"/>
                <w14:textFill>
                  <w14:solidFill>
                    <w14:schemeClr w14:val="tx1"/>
                  </w14:solidFill>
                </w14:textFill>
              </w:rPr>
              <w:t>售后人员在2小时内到提供服务，得2分；售后人员在12小时内到提供服务，得1分；售后人员在24小时内到提供服务，得0分。</w:t>
            </w:r>
          </w:p>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2</w:t>
            </w:r>
            <w:r>
              <w:rPr>
                <w:rFonts w:hint="eastAsia" w:ascii="方正仿宋_GBK" w:hAnsi="方正仿宋_GBK" w:eastAsia="方正仿宋_GBK" w:cs="方正仿宋_GBK"/>
                <w:szCs w:val="21"/>
                <w:lang w:eastAsia="zh-CN"/>
              </w:rPr>
              <w:t>）施工单位为施工人员购置工伤保险，得</w:t>
            </w:r>
            <w:r>
              <w:rPr>
                <w:rFonts w:hint="eastAsia" w:ascii="方正仿宋_GBK" w:hAnsi="方正仿宋_GBK" w:eastAsia="方正仿宋_GBK" w:cs="方正仿宋_GBK"/>
                <w:szCs w:val="21"/>
                <w:lang w:val="en-US" w:eastAsia="zh-CN"/>
              </w:rPr>
              <w:t>3分；</w:t>
            </w:r>
          </w:p>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rPr>
            </w:pPr>
          </w:p>
        </w:tc>
        <w:tc>
          <w:tcPr>
            <w:tcW w:w="702"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5</w:t>
            </w:r>
          </w:p>
        </w:tc>
        <w:tc>
          <w:tcPr>
            <w:tcW w:w="786"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p>
        </w:tc>
        <w:tc>
          <w:tcPr>
            <w:tcW w:w="172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5"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4.2</w:t>
            </w:r>
          </w:p>
        </w:tc>
        <w:tc>
          <w:tcPr>
            <w:tcW w:w="218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工期要求</w:t>
            </w:r>
          </w:p>
        </w:tc>
        <w:tc>
          <w:tcPr>
            <w:tcW w:w="3738"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1</w:t>
            </w:r>
            <w:r>
              <w:rPr>
                <w:rFonts w:hint="eastAsia" w:ascii="方正仿宋_GBK" w:hAnsi="方正仿宋_GBK" w:eastAsia="方正仿宋_GBK" w:cs="方正仿宋_GBK"/>
                <w:szCs w:val="21"/>
                <w:lang w:eastAsia="zh-CN"/>
              </w:rPr>
              <w:t>）承诺满足竞标要求总工期和节点要求，得</w:t>
            </w:r>
            <w:r>
              <w:rPr>
                <w:rFonts w:hint="eastAsia" w:ascii="方正仿宋_GBK" w:hAnsi="方正仿宋_GBK" w:eastAsia="方正仿宋_GBK" w:cs="方正仿宋_GBK"/>
                <w:szCs w:val="21"/>
                <w:lang w:val="en-US" w:eastAsia="zh-CN"/>
              </w:rPr>
              <w:t>2分；</w:t>
            </w:r>
          </w:p>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rPr>
            </w:pPr>
          </w:p>
        </w:tc>
        <w:tc>
          <w:tcPr>
            <w:tcW w:w="702"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2</w:t>
            </w:r>
          </w:p>
        </w:tc>
        <w:tc>
          <w:tcPr>
            <w:tcW w:w="786"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p>
        </w:tc>
        <w:tc>
          <w:tcPr>
            <w:tcW w:w="172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615"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五</w:t>
            </w:r>
          </w:p>
        </w:tc>
        <w:tc>
          <w:tcPr>
            <w:tcW w:w="218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eastAsia="zh-CN"/>
              </w:rPr>
              <w:t>安全要求</w:t>
            </w:r>
          </w:p>
        </w:tc>
        <w:tc>
          <w:tcPr>
            <w:tcW w:w="3738" w:type="dxa"/>
            <w:vAlign w:val="center"/>
          </w:tcPr>
          <w:p>
            <w:pPr>
              <w:pStyle w:val="6"/>
              <w:numPr>
                <w:ilvl w:val="0"/>
                <w:numId w:val="7"/>
              </w:numPr>
              <w:spacing w:line="360" w:lineRule="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在一年内</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未</w:t>
            </w:r>
            <w:r>
              <w:rPr>
                <w:rFonts w:hint="eastAsia" w:ascii="方正仿宋_GBK" w:hAnsi="方正仿宋_GBK" w:eastAsia="方正仿宋_GBK" w:cs="方正仿宋_GBK"/>
                <w:color w:val="000000" w:themeColor="text1"/>
                <w:sz w:val="21"/>
                <w:szCs w:val="21"/>
                <w14:textFill>
                  <w14:solidFill>
                    <w14:schemeClr w14:val="tx1"/>
                  </w14:solidFill>
                </w14:textFill>
              </w:rPr>
              <w:t>发生</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评级</w:t>
            </w:r>
            <w:r>
              <w:rPr>
                <w:rFonts w:hint="eastAsia" w:ascii="方正仿宋_GBK" w:hAnsi="方正仿宋_GBK" w:eastAsia="方正仿宋_GBK" w:cs="方正仿宋_GBK"/>
                <w:color w:val="000000" w:themeColor="text1"/>
                <w:sz w:val="21"/>
                <w:szCs w:val="21"/>
                <w14:textFill>
                  <w14:solidFill>
                    <w14:schemeClr w14:val="tx1"/>
                  </w14:solidFill>
                </w14:textFill>
              </w:rPr>
              <w:t>工伤事故的投标单位,</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得</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3分；</w:t>
            </w:r>
            <w:r>
              <w:rPr>
                <w:rFonts w:hint="eastAsia" w:ascii="方正仿宋_GBK" w:hAnsi="方正仿宋_GBK" w:eastAsia="方正仿宋_GBK" w:cs="方正仿宋_GBK"/>
                <w:color w:val="000000" w:themeColor="text1"/>
                <w:sz w:val="21"/>
                <w:szCs w:val="21"/>
                <w14:textFill>
                  <w14:solidFill>
                    <w14:schemeClr w14:val="tx1"/>
                  </w14:solidFill>
                </w14:textFill>
              </w:rPr>
              <w:t>在一年内</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未</w:t>
            </w:r>
            <w:r>
              <w:rPr>
                <w:rFonts w:hint="eastAsia" w:ascii="方正仿宋_GBK" w:hAnsi="方正仿宋_GBK" w:eastAsia="方正仿宋_GBK" w:cs="方正仿宋_GBK"/>
                <w:color w:val="000000" w:themeColor="text1"/>
                <w:sz w:val="21"/>
                <w:szCs w:val="21"/>
                <w14:textFill>
                  <w14:solidFill>
                    <w14:schemeClr w14:val="tx1"/>
                  </w14:solidFill>
                </w14:textFill>
              </w:rPr>
              <w:t>发生过9-10级工伤事故的投标单位,</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得</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1分；</w:t>
            </w:r>
            <w:r>
              <w:rPr>
                <w:rFonts w:hint="eastAsia" w:ascii="方正仿宋_GBK" w:hAnsi="方正仿宋_GBK" w:eastAsia="方正仿宋_GBK" w:cs="方正仿宋_GBK"/>
                <w:color w:val="000000" w:themeColor="text1"/>
                <w:sz w:val="21"/>
                <w:szCs w:val="21"/>
                <w14:textFill>
                  <w14:solidFill>
                    <w14:schemeClr w14:val="tx1"/>
                  </w14:solidFill>
                </w14:textFill>
              </w:rPr>
              <w:t>在一年内发生过7-8级工伤事故的投标单位,</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得</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0分。</w:t>
            </w:r>
          </w:p>
          <w:p>
            <w:pPr>
              <w:pStyle w:val="6"/>
              <w:spacing w:line="360" w:lineRule="auto"/>
              <w:rPr>
                <w:rFonts w:hint="eastAsia" w:ascii="方正仿宋_GBK" w:hAnsi="方正仿宋_GBK" w:eastAsia="方正仿宋_GBK" w:cs="方正仿宋_GBK"/>
                <w:szCs w:val="21"/>
                <w:lang w:eastAsia="zh-CN"/>
              </w:rPr>
            </w:pPr>
          </w:p>
        </w:tc>
        <w:tc>
          <w:tcPr>
            <w:tcW w:w="702"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3</w:t>
            </w:r>
          </w:p>
        </w:tc>
        <w:tc>
          <w:tcPr>
            <w:tcW w:w="786"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p>
        </w:tc>
        <w:tc>
          <w:tcPr>
            <w:tcW w:w="1723" w:type="dxa"/>
            <w:vAlign w:val="center"/>
          </w:tcPr>
          <w:p>
            <w:pPr>
              <w:pStyle w:val="3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仿宋_GBK" w:hAnsi="方正仿宋_GBK" w:eastAsia="方正仿宋_GBK" w:cs="方正仿宋_GBK"/>
                <w:szCs w:val="21"/>
              </w:rPr>
            </w:pPr>
          </w:p>
        </w:tc>
      </w:tr>
    </w:tbl>
    <w:p>
      <w:pPr>
        <w:pStyle w:val="6"/>
        <w:spacing w:line="360" w:lineRule="auto"/>
        <w:ind w:firstLine="120" w:firstLineChars="50"/>
        <w:rPr>
          <w:rFonts w:hint="eastAsia" w:ascii="方正小标宋_GBK" w:hAnsi="方正小标宋_GBK" w:eastAsia="方正小标宋_GBK" w:cs="方正小标宋_GBK"/>
          <w:b w:val="0"/>
          <w:bCs w:val="0"/>
          <w:color w:val="000000" w:themeColor="text1"/>
          <w:sz w:val="24"/>
          <w:szCs w:val="2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24"/>
          <w:szCs w:val="24"/>
          <w14:textFill>
            <w14:solidFill>
              <w14:schemeClr w14:val="tx1"/>
            </w14:solidFill>
          </w14:textFill>
        </w:rPr>
        <w:t>（</w:t>
      </w:r>
      <w:r>
        <w:rPr>
          <w:rFonts w:hint="eastAsia" w:ascii="方正小标宋_GBK" w:hAnsi="方正小标宋_GBK" w:eastAsia="方正小标宋_GBK" w:cs="方正小标宋_GBK"/>
          <w:b w:val="0"/>
          <w:bCs w:val="0"/>
          <w:color w:val="000000" w:themeColor="text1"/>
          <w:sz w:val="24"/>
          <w:szCs w:val="24"/>
          <w:lang w:eastAsia="zh-CN"/>
          <w14:textFill>
            <w14:solidFill>
              <w14:schemeClr w14:val="tx1"/>
            </w14:solidFill>
          </w14:textFill>
        </w:rPr>
        <w:t>二</w:t>
      </w:r>
      <w:r>
        <w:rPr>
          <w:rFonts w:hint="eastAsia" w:ascii="方正小标宋_GBK" w:hAnsi="方正小标宋_GBK" w:eastAsia="方正小标宋_GBK" w:cs="方正小标宋_GBK"/>
          <w:b w:val="0"/>
          <w:bCs w:val="0"/>
          <w:color w:val="000000" w:themeColor="text1"/>
          <w:sz w:val="24"/>
          <w:szCs w:val="24"/>
          <w14:textFill>
            <w14:solidFill>
              <w14:schemeClr w14:val="tx1"/>
            </w14:solidFill>
          </w14:textFill>
        </w:rPr>
        <w:t>）计算得分</w:t>
      </w:r>
    </w:p>
    <w:p>
      <w:pPr>
        <w:pStyle w:val="6"/>
        <w:spacing w:line="360" w:lineRule="auto"/>
        <w:ind w:firstLine="480" w:firstLineChars="200"/>
        <w:rPr>
          <w:rFonts w:hint="eastAsia" w:ascii="方正小标宋_GBK" w:hAnsi="方正小标宋_GBK" w:eastAsia="方正小标宋_GBK" w:cs="方正小标宋_GBK"/>
          <w:b w:val="0"/>
          <w:bCs w:val="0"/>
          <w:color w:val="000000" w:themeColor="text1"/>
          <w:sz w:val="24"/>
          <w:szCs w:val="24"/>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24"/>
          <w:szCs w:val="24"/>
          <w:lang w:val="en-US" w:eastAsia="zh-CN"/>
          <w14:textFill>
            <w14:solidFill>
              <w14:schemeClr w14:val="tx1"/>
            </w14:solidFill>
          </w14:textFill>
        </w:rPr>
        <w:t>1、</w:t>
      </w:r>
      <w:r>
        <w:rPr>
          <w:rFonts w:hint="eastAsia" w:ascii="方正小标宋_GBK" w:hAnsi="方正小标宋_GBK" w:eastAsia="方正小标宋_GBK" w:cs="方正小标宋_GBK"/>
          <w:b w:val="0"/>
          <w:bCs w:val="0"/>
          <w:color w:val="000000" w:themeColor="text1"/>
          <w:sz w:val="24"/>
          <w:szCs w:val="24"/>
          <w:lang w:eastAsia="zh-CN"/>
          <w14:textFill>
            <w14:solidFill>
              <w14:schemeClr w14:val="tx1"/>
            </w14:solidFill>
          </w14:textFill>
        </w:rPr>
        <w:t>在没有超限价的基础上，以各家施工单位的最低报价作为投标价格分的基准分，超</w:t>
      </w:r>
      <w:r>
        <w:rPr>
          <w:rFonts w:hint="eastAsia" w:ascii="方正小标宋_GBK" w:hAnsi="方正小标宋_GBK" w:eastAsia="方正小标宋_GBK" w:cs="方正小标宋_GBK"/>
          <w:b w:val="0"/>
          <w:bCs w:val="0"/>
          <w:color w:val="000000" w:themeColor="text1"/>
          <w:sz w:val="24"/>
          <w:szCs w:val="24"/>
          <w:lang w:val="en-US" w:eastAsia="zh-CN"/>
          <w14:textFill>
            <w14:solidFill>
              <w14:schemeClr w14:val="tx1"/>
            </w14:solidFill>
          </w14:textFill>
        </w:rPr>
        <w:t>1%扣1分。</w:t>
      </w:r>
    </w:p>
    <w:p>
      <w:pPr>
        <w:pStyle w:val="6"/>
        <w:spacing w:line="360" w:lineRule="auto"/>
        <w:ind w:firstLine="480" w:firstLineChars="200"/>
        <w:rPr>
          <w:rFonts w:hint="eastAsia" w:ascii="方正小标宋_GBK" w:hAnsi="方正小标宋_GBK" w:eastAsia="方正小标宋_GBK" w:cs="方正小标宋_GBK"/>
          <w:b w:val="0"/>
          <w:bCs w:val="0"/>
          <w:color w:val="000000" w:themeColor="text1"/>
          <w:sz w:val="24"/>
          <w:szCs w:val="2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24"/>
          <w:szCs w:val="24"/>
          <w:lang w:val="en-US" w:eastAsia="zh-CN"/>
          <w14:textFill>
            <w14:solidFill>
              <w14:schemeClr w14:val="tx1"/>
            </w14:solidFill>
          </w14:textFill>
        </w:rPr>
        <w:t>2、</w:t>
      </w:r>
      <w:r>
        <w:rPr>
          <w:rFonts w:hint="eastAsia" w:ascii="方正小标宋_GBK" w:hAnsi="方正小标宋_GBK" w:eastAsia="方正小标宋_GBK" w:cs="方正小标宋_GBK"/>
          <w:b w:val="0"/>
          <w:bCs w:val="0"/>
          <w:color w:val="000000" w:themeColor="text1"/>
          <w:sz w:val="24"/>
          <w:szCs w:val="24"/>
          <w14:textFill>
            <w14:solidFill>
              <w14:schemeClr w14:val="tx1"/>
            </w14:solidFill>
          </w14:textFill>
        </w:rPr>
        <w:t>各评标专家按上述标准逐项打分（计算至个位数）并计算总得分，所有评标专家对该施工单位打分的平均值（取两位小数）为最终得分。</w:t>
      </w:r>
    </w:p>
    <w:p>
      <w:pPr>
        <w:pStyle w:val="6"/>
        <w:spacing w:line="360" w:lineRule="auto"/>
        <w:rPr>
          <w:rFonts w:hint="eastAsia" w:ascii="方正小标宋_GBK" w:hAnsi="方正小标宋_GBK" w:eastAsia="方正小标宋_GBK" w:cs="方正小标宋_GBK"/>
          <w:b w:val="0"/>
          <w:bCs w:val="0"/>
          <w:color w:val="000000" w:themeColor="text1"/>
          <w:sz w:val="24"/>
          <w:szCs w:val="2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24"/>
          <w:szCs w:val="24"/>
          <w14:textFill>
            <w14:solidFill>
              <w14:schemeClr w14:val="tx1"/>
            </w14:solidFill>
          </w14:textFill>
        </w:rPr>
        <w:t>（</w:t>
      </w:r>
      <w:r>
        <w:rPr>
          <w:rFonts w:hint="eastAsia" w:ascii="方正小标宋_GBK" w:hAnsi="方正小标宋_GBK" w:eastAsia="方正小标宋_GBK" w:cs="方正小标宋_GBK"/>
          <w:b w:val="0"/>
          <w:bCs w:val="0"/>
          <w:color w:val="000000" w:themeColor="text1"/>
          <w:sz w:val="24"/>
          <w:szCs w:val="24"/>
          <w:lang w:eastAsia="zh-CN"/>
          <w14:textFill>
            <w14:solidFill>
              <w14:schemeClr w14:val="tx1"/>
            </w14:solidFill>
          </w14:textFill>
        </w:rPr>
        <w:t>三</w:t>
      </w:r>
      <w:r>
        <w:rPr>
          <w:rFonts w:hint="eastAsia" w:ascii="方正小标宋_GBK" w:hAnsi="方正小标宋_GBK" w:eastAsia="方正小标宋_GBK" w:cs="方正小标宋_GBK"/>
          <w:b w:val="0"/>
          <w:bCs w:val="0"/>
          <w:color w:val="000000" w:themeColor="text1"/>
          <w:sz w:val="24"/>
          <w:szCs w:val="24"/>
          <w14:textFill>
            <w14:solidFill>
              <w14:schemeClr w14:val="tx1"/>
            </w14:solidFill>
          </w14:textFill>
        </w:rPr>
        <w:t>）中标</w:t>
      </w:r>
    </w:p>
    <w:p>
      <w:pPr>
        <w:pStyle w:val="6"/>
        <w:spacing w:line="360" w:lineRule="auto"/>
        <w:ind w:firstLine="480" w:firstLineChars="200"/>
        <w:rPr>
          <w:rFonts w:hint="eastAsia" w:ascii="方正小标宋_GBK" w:hAnsi="方正小标宋_GBK" w:eastAsia="方正小标宋_GBK" w:cs="方正小标宋_GBK"/>
          <w:b w:val="0"/>
          <w:bCs w:val="0"/>
          <w:color w:val="000000" w:themeColor="text1"/>
          <w:sz w:val="24"/>
          <w:szCs w:val="2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24"/>
          <w:szCs w:val="24"/>
          <w14:textFill>
            <w14:solidFill>
              <w14:schemeClr w14:val="tx1"/>
            </w14:solidFill>
          </w14:textFill>
        </w:rPr>
        <w:t>1、按照竞标单位以综合评定得分最高者确定为中标候选人。</w:t>
      </w:r>
    </w:p>
    <w:p>
      <w:pPr>
        <w:pStyle w:val="6"/>
        <w:spacing w:line="360" w:lineRule="auto"/>
        <w:ind w:firstLine="480" w:firstLineChars="200"/>
        <w:rPr>
          <w:rFonts w:hint="eastAsia" w:ascii="方正小标宋_GBK" w:hAnsi="方正小标宋_GBK" w:eastAsia="方正小标宋_GBK" w:cs="方正小标宋_GBK"/>
          <w:b w:val="0"/>
          <w:bCs w:val="0"/>
          <w:color w:val="000000" w:themeColor="text1"/>
          <w:sz w:val="24"/>
          <w:szCs w:val="2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24"/>
          <w:szCs w:val="24"/>
          <w14:textFill>
            <w14:solidFill>
              <w14:schemeClr w14:val="tx1"/>
            </w14:solidFill>
          </w14:textFill>
        </w:rPr>
        <w:t>2、如出现两家竞标单位价格相同的情况，则由评标专家投票表决从中确定中标候选人。</w:t>
      </w: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sz w:val="30"/>
          <w:szCs w:val="30"/>
        </w:rPr>
      </w:pPr>
    </w:p>
    <w:p>
      <w:pPr>
        <w:pStyle w:val="4"/>
        <w:kinsoku w:val="0"/>
        <w:overflowPunct w:val="0"/>
        <w:spacing w:line="475" w:lineRule="exact"/>
        <w:ind w:left="0"/>
        <w:jc w:val="center"/>
        <w:rPr>
          <w:rFonts w:hint="eastAsia" w:ascii="方正小标宋_GBK" w:hAnsi="方正小标宋_GBK" w:eastAsia="方正小标宋_GBK" w:cs="方正小标宋_GBK"/>
          <w:b w:val="0"/>
          <w:bCs w:val="0"/>
          <w:spacing w:val="2"/>
          <w:lang w:eastAsia="zh-CN"/>
        </w:rPr>
      </w:pPr>
      <w:r>
        <w:rPr>
          <w:rFonts w:hint="eastAsia" w:ascii="方正小标宋_GBK" w:hAnsi="方正小标宋_GBK" w:eastAsia="方正小标宋_GBK" w:cs="方正小标宋_GBK"/>
          <w:sz w:val="30"/>
          <w:szCs w:val="30"/>
        </w:rPr>
        <w:t>重庆中江船业有限公司</w:t>
      </w:r>
    </w:p>
    <w:p>
      <w:pPr>
        <w:spacing w:line="400" w:lineRule="exact"/>
        <w:rPr>
          <w:rFonts w:hint="eastAsia" w:ascii="方正小标宋_GBK" w:hAnsi="方正小标宋_GBK" w:eastAsia="方正小标宋_GBK" w:cs="方正小标宋_GBK"/>
          <w:spacing w:val="2"/>
          <w:sz w:val="24"/>
        </w:rPr>
      </w:pPr>
      <w:r>
        <w:rPr>
          <w:rFonts w:hint="eastAsia" w:ascii="方正小标宋_GBK" w:hAnsi="方正小标宋_GBK" w:eastAsia="方正小标宋_GBK" w:cs="方正小标宋_GBK"/>
          <w:spacing w:val="2"/>
          <w:sz w:val="24"/>
        </w:rPr>
        <w:t xml:space="preserve">                </w:t>
      </w:r>
      <w:r>
        <w:rPr>
          <w:rFonts w:hint="eastAsia" w:ascii="方正小标宋_GBK" w:hAnsi="方正小标宋_GBK" w:eastAsia="方正小标宋_GBK" w:cs="方正小标宋_GBK"/>
          <w:b/>
          <w:bCs/>
          <w:sz w:val="30"/>
          <w:szCs w:val="30"/>
          <w:lang w:val="en-US" w:eastAsia="zh-CN"/>
        </w:rPr>
        <w:t>130mLNG单燃料集散货船船体建造劳务工程</w:t>
      </w:r>
      <w:r>
        <w:rPr>
          <w:rFonts w:hint="eastAsia" w:ascii="方正小标宋_GBK" w:hAnsi="方正小标宋_GBK" w:eastAsia="方正小标宋_GBK" w:cs="方正小标宋_GBK"/>
          <w:b/>
          <w:bCs/>
          <w:sz w:val="30"/>
          <w:szCs w:val="30"/>
        </w:rPr>
        <w:t>报价单</w:t>
      </w:r>
    </w:p>
    <w:tbl>
      <w:tblPr>
        <w:tblStyle w:val="16"/>
        <w:tblW w:w="9991" w:type="dxa"/>
        <w:tblInd w:w="-738" w:type="dxa"/>
        <w:tblLayout w:type="fixed"/>
        <w:tblCellMar>
          <w:top w:w="0" w:type="dxa"/>
          <w:left w:w="0" w:type="dxa"/>
          <w:bottom w:w="0" w:type="dxa"/>
          <w:right w:w="0" w:type="dxa"/>
        </w:tblCellMar>
      </w:tblPr>
      <w:tblGrid>
        <w:gridCol w:w="596"/>
        <w:gridCol w:w="2552"/>
        <w:gridCol w:w="1833"/>
        <w:gridCol w:w="240"/>
        <w:gridCol w:w="324"/>
        <w:gridCol w:w="169"/>
        <w:gridCol w:w="1262"/>
        <w:gridCol w:w="1065"/>
        <w:gridCol w:w="1140"/>
        <w:gridCol w:w="810"/>
      </w:tblGrid>
      <w:tr>
        <w:tblPrEx>
          <w:tblLayout w:type="fixed"/>
          <w:tblCellMar>
            <w:top w:w="0" w:type="dxa"/>
            <w:left w:w="0" w:type="dxa"/>
            <w:bottom w:w="0" w:type="dxa"/>
            <w:right w:w="0" w:type="dxa"/>
          </w:tblCellMar>
        </w:tblPrEx>
        <w:trPr>
          <w:trHeight w:val="576" w:hRule="exact"/>
        </w:trPr>
        <w:tc>
          <w:tcPr>
            <w:tcW w:w="596" w:type="dxa"/>
            <w:tcBorders>
              <w:top w:val="single" w:color="000000" w:sz="6" w:space="0"/>
              <w:left w:val="single" w:color="000000" w:sz="6" w:space="0"/>
              <w:bottom w:val="single" w:color="000000" w:sz="6" w:space="0"/>
              <w:right w:val="single" w:color="000000" w:sz="6" w:space="0"/>
            </w:tcBorders>
            <w:vAlign w:val="center"/>
          </w:tcPr>
          <w:p>
            <w:pPr>
              <w:pStyle w:val="33"/>
              <w:kinsoku w:val="0"/>
              <w:overflowPunct w:val="0"/>
              <w:spacing w:before="124"/>
              <w:ind w:left="88"/>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序号</w:t>
            </w:r>
          </w:p>
        </w:tc>
        <w:tc>
          <w:tcPr>
            <w:tcW w:w="4385" w:type="dxa"/>
            <w:gridSpan w:val="2"/>
            <w:tcBorders>
              <w:top w:val="single" w:color="000000" w:sz="6" w:space="0"/>
              <w:left w:val="single" w:color="000000" w:sz="6" w:space="0"/>
              <w:bottom w:val="single" w:color="auto" w:sz="4" w:space="0"/>
              <w:right w:val="single" w:color="000000" w:sz="6" w:space="0"/>
            </w:tcBorders>
            <w:vAlign w:val="center"/>
          </w:tcPr>
          <w:p>
            <w:pPr>
              <w:pStyle w:val="33"/>
              <w:kinsoku w:val="0"/>
              <w:overflowPunct w:val="0"/>
              <w:spacing w:before="124"/>
              <w:ind w:left="304"/>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检测项目名称</w:t>
            </w:r>
          </w:p>
        </w:tc>
        <w:tc>
          <w:tcPr>
            <w:tcW w:w="733" w:type="dxa"/>
            <w:gridSpan w:val="3"/>
            <w:tcBorders>
              <w:top w:val="single" w:color="000000" w:sz="6" w:space="0"/>
              <w:left w:val="single" w:color="000000" w:sz="6" w:space="0"/>
              <w:bottom w:val="single" w:color="auto" w:sz="4" w:space="0"/>
              <w:right w:val="single" w:color="000000" w:sz="6" w:space="0"/>
            </w:tcBorders>
            <w:vAlign w:val="center"/>
          </w:tcPr>
          <w:p>
            <w:pPr>
              <w:pStyle w:val="33"/>
              <w:kinsoku w:val="0"/>
              <w:overflowPunct w:val="0"/>
              <w:spacing w:before="124"/>
              <w:ind w:left="127"/>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单位</w:t>
            </w:r>
          </w:p>
        </w:tc>
        <w:tc>
          <w:tcPr>
            <w:tcW w:w="1262" w:type="dxa"/>
            <w:tcBorders>
              <w:top w:val="single" w:color="000000" w:sz="6" w:space="0"/>
              <w:left w:val="single" w:color="000000" w:sz="6" w:space="0"/>
              <w:bottom w:val="single" w:color="auto" w:sz="4" w:space="0"/>
              <w:right w:val="single" w:color="auto" w:sz="4" w:space="0"/>
            </w:tcBorders>
            <w:vAlign w:val="center"/>
          </w:tcPr>
          <w:p>
            <w:pPr>
              <w:pStyle w:val="33"/>
              <w:kinsoku w:val="0"/>
              <w:overflowPunct w:val="0"/>
              <w:spacing w:line="262" w:lineRule="exact"/>
              <w:ind w:left="7"/>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单价</w:t>
            </w:r>
            <w:r>
              <w:rPr>
                <w:rFonts w:hint="eastAsia" w:ascii="方正仿宋_GBK" w:hAnsi="方正仿宋_GBK" w:eastAsia="方正仿宋_GBK" w:cs="方正仿宋_GBK"/>
                <w:b/>
                <w:bCs/>
                <w:spacing w:val="2"/>
                <w:sz w:val="24"/>
                <w:szCs w:val="24"/>
              </w:rPr>
              <w:t>（</w:t>
            </w:r>
            <w:r>
              <w:rPr>
                <w:rFonts w:hint="eastAsia" w:ascii="方正仿宋_GBK" w:hAnsi="方正仿宋_GBK" w:eastAsia="方正仿宋_GBK" w:cs="方正仿宋_GBK"/>
                <w:b/>
                <w:bCs/>
                <w:spacing w:val="2"/>
                <w:sz w:val="24"/>
                <w:szCs w:val="24"/>
                <w:lang w:eastAsia="zh-CN"/>
              </w:rPr>
              <w:t>万</w:t>
            </w:r>
            <w:r>
              <w:rPr>
                <w:rFonts w:hint="eastAsia" w:ascii="方正仿宋_GBK" w:hAnsi="方正仿宋_GBK" w:eastAsia="方正仿宋_GBK" w:cs="方正仿宋_GBK"/>
                <w:b/>
                <w:bCs/>
                <w:spacing w:val="2"/>
                <w:sz w:val="24"/>
                <w:szCs w:val="24"/>
              </w:rPr>
              <w:t>元）</w:t>
            </w:r>
          </w:p>
        </w:tc>
        <w:tc>
          <w:tcPr>
            <w:tcW w:w="1065" w:type="dxa"/>
            <w:tcBorders>
              <w:top w:val="single" w:color="auto" w:sz="4" w:space="0"/>
              <w:left w:val="single" w:color="auto" w:sz="4" w:space="0"/>
              <w:bottom w:val="single" w:color="auto" w:sz="4" w:space="0"/>
              <w:right w:val="nil"/>
            </w:tcBorders>
            <w:vAlign w:val="center"/>
          </w:tcPr>
          <w:p>
            <w:pPr>
              <w:pStyle w:val="33"/>
              <w:kinsoku w:val="0"/>
              <w:overflowPunct w:val="0"/>
              <w:spacing w:before="124"/>
              <w:ind w:left="11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备注</w:t>
            </w:r>
          </w:p>
        </w:tc>
        <w:tc>
          <w:tcPr>
            <w:tcW w:w="1140" w:type="dxa"/>
            <w:tcBorders>
              <w:top w:val="single" w:color="auto" w:sz="4" w:space="0"/>
              <w:left w:val="nil"/>
              <w:bottom w:val="single" w:color="auto" w:sz="4" w:space="0"/>
              <w:right w:val="nil"/>
            </w:tcBorders>
            <w:vAlign w:val="center"/>
          </w:tcPr>
          <w:p>
            <w:pPr>
              <w:pStyle w:val="33"/>
              <w:kinsoku w:val="0"/>
              <w:overflowPunct w:val="0"/>
              <w:spacing w:line="238" w:lineRule="exact"/>
              <w:jc w:val="center"/>
              <w:rPr>
                <w:rFonts w:hint="eastAsia" w:ascii="方正仿宋_GBK" w:hAnsi="方正仿宋_GBK" w:eastAsia="方正仿宋_GBK" w:cs="方正仿宋_GBK"/>
                <w:sz w:val="24"/>
                <w:szCs w:val="24"/>
              </w:rPr>
            </w:pPr>
          </w:p>
        </w:tc>
        <w:tc>
          <w:tcPr>
            <w:tcW w:w="810" w:type="dxa"/>
            <w:tcBorders>
              <w:top w:val="single" w:color="auto" w:sz="4" w:space="0"/>
              <w:left w:val="nil"/>
              <w:bottom w:val="single" w:color="auto" w:sz="4" w:space="0"/>
              <w:right w:val="single" w:color="auto" w:sz="4" w:space="0"/>
            </w:tcBorders>
            <w:vAlign w:val="center"/>
          </w:tcPr>
          <w:p>
            <w:pPr>
              <w:pStyle w:val="33"/>
              <w:kinsoku w:val="0"/>
              <w:overflowPunct w:val="0"/>
              <w:spacing w:before="124"/>
              <w:jc w:val="both"/>
              <w:rPr>
                <w:rFonts w:hint="eastAsia" w:ascii="方正仿宋_GBK" w:hAnsi="方正仿宋_GBK" w:eastAsia="方正仿宋_GBK" w:cs="方正仿宋_GBK"/>
                <w:sz w:val="24"/>
                <w:szCs w:val="24"/>
              </w:rPr>
            </w:pPr>
          </w:p>
        </w:tc>
      </w:tr>
      <w:tr>
        <w:tblPrEx>
          <w:tblLayout w:type="fixed"/>
          <w:tblCellMar>
            <w:top w:w="0" w:type="dxa"/>
            <w:left w:w="0" w:type="dxa"/>
            <w:bottom w:w="0" w:type="dxa"/>
            <w:right w:w="0" w:type="dxa"/>
          </w:tblCellMar>
        </w:tblPrEx>
        <w:trPr>
          <w:trHeight w:val="446" w:hRule="exact"/>
        </w:trPr>
        <w:tc>
          <w:tcPr>
            <w:tcW w:w="596" w:type="dxa"/>
            <w:tcBorders>
              <w:top w:val="single" w:color="000000" w:sz="6" w:space="0"/>
              <w:left w:val="single" w:color="000000" w:sz="6" w:space="0"/>
              <w:bottom w:val="single" w:color="000000" w:sz="6" w:space="0"/>
              <w:right w:val="single" w:color="auto" w:sz="4" w:space="0"/>
            </w:tcBorders>
            <w:vAlign w:val="top"/>
          </w:tcPr>
          <w:p>
            <w:pPr>
              <w:pStyle w:val="33"/>
              <w:kinsoku w:val="0"/>
              <w:overflowPunct w:val="0"/>
              <w:spacing w:before="59"/>
              <w:ind w:left="196"/>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w:t>
            </w:r>
          </w:p>
        </w:tc>
        <w:tc>
          <w:tcPr>
            <w:tcW w:w="8585" w:type="dxa"/>
            <w:gridSpan w:val="8"/>
            <w:tcBorders>
              <w:top w:val="single" w:color="auto" w:sz="4" w:space="0"/>
              <w:left w:val="single" w:color="auto" w:sz="4" w:space="0"/>
              <w:bottom w:val="single" w:color="auto" w:sz="4" w:space="0"/>
              <w:right w:val="nil"/>
            </w:tcBorders>
            <w:vAlign w:val="top"/>
          </w:tcPr>
          <w:p>
            <w:pPr>
              <w:pStyle w:val="33"/>
              <w:kinsoku w:val="0"/>
              <w:overflowPunct w:val="0"/>
              <w:spacing w:before="50"/>
              <w:ind w:left="28"/>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报价明细</w:t>
            </w:r>
          </w:p>
        </w:tc>
        <w:tc>
          <w:tcPr>
            <w:tcW w:w="810" w:type="dxa"/>
            <w:tcBorders>
              <w:top w:val="single" w:color="auto" w:sz="4" w:space="0"/>
              <w:left w:val="nil"/>
              <w:bottom w:val="single" w:color="auto" w:sz="4" w:space="0"/>
              <w:right w:val="single" w:color="auto" w:sz="4" w:space="0"/>
            </w:tcBorders>
            <w:vAlign w:val="top"/>
          </w:tcPr>
          <w:p>
            <w:pPr>
              <w:rPr>
                <w:rFonts w:hint="eastAsia" w:ascii="方正仿宋_GBK" w:hAnsi="方正仿宋_GBK" w:eastAsia="方正仿宋_GBK" w:cs="方正仿宋_GBK"/>
                <w:sz w:val="24"/>
                <w:szCs w:val="24"/>
              </w:rPr>
            </w:pPr>
          </w:p>
        </w:tc>
      </w:tr>
      <w:tr>
        <w:tblPrEx>
          <w:tblLayout w:type="fixed"/>
          <w:tblCellMar>
            <w:top w:w="0" w:type="dxa"/>
            <w:left w:w="0" w:type="dxa"/>
            <w:bottom w:w="0" w:type="dxa"/>
            <w:right w:w="0" w:type="dxa"/>
          </w:tblCellMar>
        </w:tblPrEx>
        <w:trPr>
          <w:trHeight w:val="887" w:hRule="exact"/>
        </w:trPr>
        <w:tc>
          <w:tcPr>
            <w:tcW w:w="596" w:type="dxa"/>
            <w:tcBorders>
              <w:top w:val="single" w:color="000000" w:sz="6" w:space="0"/>
              <w:left w:val="single" w:color="000000" w:sz="6" w:space="0"/>
              <w:bottom w:val="single" w:color="000000" w:sz="6" w:space="0"/>
              <w:right w:val="single" w:color="000000" w:sz="6" w:space="0"/>
            </w:tcBorders>
            <w:vAlign w:val="top"/>
          </w:tcPr>
          <w:p>
            <w:pPr>
              <w:pStyle w:val="33"/>
              <w:kinsoku w:val="0"/>
              <w:overflowPunct w:val="0"/>
              <w:spacing w:before="59"/>
              <w:ind w:left="19"/>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4385" w:type="dxa"/>
            <w:gridSpan w:val="2"/>
            <w:tcBorders>
              <w:top w:val="single" w:color="auto" w:sz="4" w:space="0"/>
              <w:left w:val="single" w:color="000000" w:sz="6" w:space="0"/>
              <w:bottom w:val="single" w:color="000000" w:sz="6" w:space="0"/>
              <w:right w:val="single" w:color="000000" w:sz="6" w:space="0"/>
            </w:tcBorders>
            <w:vAlign w:val="top"/>
          </w:tcPr>
          <w:p>
            <w:pPr>
              <w:spacing w:line="336" w:lineRule="auto"/>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2"/>
                <w:sz w:val="24"/>
                <w:szCs w:val="24"/>
              </w:rPr>
              <w:t xml:space="preserve"> </w:t>
            </w:r>
            <w:r>
              <w:rPr>
                <w:rFonts w:hint="eastAsia" w:ascii="方正仿宋_GBK" w:hAnsi="方正仿宋_GBK" w:eastAsia="方正仿宋_GBK" w:cs="方正仿宋_GBK"/>
                <w:b/>
                <w:bCs/>
                <w:sz w:val="24"/>
                <w:szCs w:val="24"/>
                <w:lang w:val="en-US" w:eastAsia="zh-CN"/>
              </w:rPr>
              <w:t>130mLNG单燃料集散货船(ZJ25-C1327)船体建造劳务工程</w:t>
            </w:r>
          </w:p>
        </w:tc>
        <w:tc>
          <w:tcPr>
            <w:tcW w:w="564" w:type="dxa"/>
            <w:gridSpan w:val="2"/>
            <w:tcBorders>
              <w:top w:val="single" w:color="auto" w:sz="4" w:space="0"/>
              <w:left w:val="single" w:color="000000" w:sz="6" w:space="0"/>
              <w:bottom w:val="single" w:color="000000" w:sz="6" w:space="0"/>
              <w:right w:val="single" w:color="000000" w:sz="6" w:space="0"/>
            </w:tcBorders>
            <w:vAlign w:val="top"/>
          </w:tcPr>
          <w:p>
            <w:pPr>
              <w:spacing w:line="336" w:lineRule="auto"/>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艘</w:t>
            </w:r>
          </w:p>
        </w:tc>
        <w:tc>
          <w:tcPr>
            <w:tcW w:w="1431" w:type="dxa"/>
            <w:gridSpan w:val="2"/>
            <w:tcBorders>
              <w:top w:val="single" w:color="auto" w:sz="4"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lang w:val="en-US" w:eastAsia="zh-CN"/>
              </w:rPr>
            </w:pPr>
          </w:p>
        </w:tc>
        <w:tc>
          <w:tcPr>
            <w:tcW w:w="1065" w:type="dxa"/>
            <w:tcBorders>
              <w:top w:val="single" w:color="auto" w:sz="4" w:space="0"/>
              <w:left w:val="single" w:color="000000" w:sz="6" w:space="0"/>
              <w:bottom w:val="single" w:color="000000" w:sz="6" w:space="0"/>
              <w:right w:val="single" w:color="000000" w:sz="6" w:space="0"/>
            </w:tcBorders>
            <w:vAlign w:val="top"/>
          </w:tcPr>
          <w:p>
            <w:pPr>
              <w:jc w:val="center"/>
              <w:rPr>
                <w:rFonts w:hint="eastAsia" w:ascii="方正仿宋_GBK" w:hAnsi="方正仿宋_GBK" w:eastAsia="方正仿宋_GBK" w:cs="方正仿宋_GBK"/>
                <w:sz w:val="24"/>
                <w:szCs w:val="24"/>
              </w:rPr>
            </w:pPr>
          </w:p>
        </w:tc>
        <w:tc>
          <w:tcPr>
            <w:tcW w:w="1140" w:type="dxa"/>
            <w:tcBorders>
              <w:top w:val="single" w:color="auto" w:sz="4"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810" w:type="dxa"/>
            <w:tcBorders>
              <w:top w:val="single" w:color="auto" w:sz="4"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r>
      <w:tr>
        <w:tblPrEx>
          <w:tblLayout w:type="fixed"/>
          <w:tblCellMar>
            <w:top w:w="0" w:type="dxa"/>
            <w:left w:w="0" w:type="dxa"/>
            <w:bottom w:w="0" w:type="dxa"/>
            <w:right w:w="0" w:type="dxa"/>
          </w:tblCellMar>
        </w:tblPrEx>
        <w:trPr>
          <w:trHeight w:val="447" w:hRule="exact"/>
        </w:trPr>
        <w:tc>
          <w:tcPr>
            <w:tcW w:w="596" w:type="dxa"/>
            <w:tcBorders>
              <w:top w:val="single" w:color="000000" w:sz="6" w:space="0"/>
              <w:left w:val="single" w:color="000000" w:sz="6" w:space="0"/>
              <w:bottom w:val="single" w:color="000000" w:sz="6" w:space="0"/>
              <w:right w:val="single" w:color="000000" w:sz="6" w:space="0"/>
            </w:tcBorders>
            <w:vAlign w:val="top"/>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4385" w:type="dxa"/>
            <w:gridSpan w:val="2"/>
            <w:tcBorders>
              <w:top w:val="single" w:color="000000" w:sz="6" w:space="0"/>
              <w:left w:val="single" w:color="000000" w:sz="6" w:space="0"/>
              <w:bottom w:val="single" w:color="000000" w:sz="6" w:space="0"/>
              <w:right w:val="single" w:color="000000" w:sz="6" w:space="0"/>
            </w:tcBorders>
            <w:vAlign w:val="top"/>
          </w:tcPr>
          <w:p>
            <w:pPr>
              <w:spacing w:line="336" w:lineRule="auto"/>
              <w:jc w:val="center"/>
              <w:rPr>
                <w:rFonts w:hint="eastAsia" w:ascii="方正仿宋_GBK" w:hAnsi="方正仿宋_GBK" w:eastAsia="方正仿宋_GBK" w:cs="方正仿宋_GBK"/>
                <w:sz w:val="24"/>
                <w:szCs w:val="24"/>
              </w:rPr>
            </w:pPr>
          </w:p>
        </w:tc>
        <w:tc>
          <w:tcPr>
            <w:tcW w:w="564" w:type="dxa"/>
            <w:gridSpan w:val="2"/>
            <w:tcBorders>
              <w:top w:val="single" w:color="000000" w:sz="6" w:space="0"/>
              <w:left w:val="single" w:color="000000" w:sz="6" w:space="0"/>
              <w:bottom w:val="single" w:color="000000" w:sz="6" w:space="0"/>
              <w:right w:val="single" w:color="000000" w:sz="6" w:space="0"/>
            </w:tcBorders>
            <w:vAlign w:val="top"/>
          </w:tcPr>
          <w:p>
            <w:pPr>
              <w:spacing w:line="336" w:lineRule="auto"/>
              <w:jc w:val="center"/>
              <w:rPr>
                <w:rFonts w:hint="eastAsia" w:ascii="方正仿宋_GBK" w:hAnsi="方正仿宋_GBK" w:eastAsia="方正仿宋_GBK" w:cs="方正仿宋_GBK"/>
                <w:sz w:val="24"/>
                <w:szCs w:val="24"/>
              </w:rPr>
            </w:pPr>
          </w:p>
        </w:tc>
        <w:tc>
          <w:tcPr>
            <w:tcW w:w="1431" w:type="dxa"/>
            <w:gridSpan w:val="2"/>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top"/>
          </w:tcPr>
          <w:p>
            <w:pPr>
              <w:jc w:val="center"/>
              <w:rPr>
                <w:rFonts w:hint="eastAsia" w:ascii="方正仿宋_GBK" w:hAnsi="方正仿宋_GBK" w:eastAsia="方正仿宋_GBK" w:cs="方正仿宋_GBK"/>
                <w:sz w:val="24"/>
                <w:szCs w:val="24"/>
              </w:rPr>
            </w:pPr>
          </w:p>
        </w:tc>
        <w:tc>
          <w:tcPr>
            <w:tcW w:w="1140" w:type="dxa"/>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810" w:type="dxa"/>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r>
      <w:tr>
        <w:tblPrEx>
          <w:tblLayout w:type="fixed"/>
          <w:tblCellMar>
            <w:top w:w="0" w:type="dxa"/>
            <w:left w:w="0" w:type="dxa"/>
            <w:bottom w:w="0" w:type="dxa"/>
            <w:right w:w="0" w:type="dxa"/>
          </w:tblCellMar>
        </w:tblPrEx>
        <w:trPr>
          <w:trHeight w:val="446" w:hRule="exact"/>
        </w:trPr>
        <w:tc>
          <w:tcPr>
            <w:tcW w:w="596" w:type="dxa"/>
            <w:tcBorders>
              <w:top w:val="single" w:color="000000" w:sz="6" w:space="0"/>
              <w:left w:val="single" w:color="000000" w:sz="6" w:space="0"/>
              <w:bottom w:val="single" w:color="000000" w:sz="6" w:space="0"/>
              <w:right w:val="single" w:color="000000" w:sz="6" w:space="0"/>
            </w:tcBorders>
            <w:vAlign w:val="top"/>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4385" w:type="dxa"/>
            <w:gridSpan w:val="2"/>
            <w:tcBorders>
              <w:top w:val="single" w:color="000000" w:sz="6" w:space="0"/>
              <w:left w:val="single" w:color="000000" w:sz="6" w:space="0"/>
              <w:bottom w:val="single" w:color="000000" w:sz="6" w:space="0"/>
              <w:right w:val="single" w:color="000000" w:sz="6" w:space="0"/>
            </w:tcBorders>
            <w:vAlign w:val="top"/>
          </w:tcPr>
          <w:p>
            <w:pPr>
              <w:spacing w:line="336" w:lineRule="auto"/>
              <w:jc w:val="center"/>
              <w:rPr>
                <w:rFonts w:hint="eastAsia" w:ascii="方正仿宋_GBK" w:hAnsi="方正仿宋_GBK" w:eastAsia="方正仿宋_GBK" w:cs="方正仿宋_GBK"/>
                <w:sz w:val="24"/>
                <w:szCs w:val="24"/>
              </w:rPr>
            </w:pPr>
          </w:p>
        </w:tc>
        <w:tc>
          <w:tcPr>
            <w:tcW w:w="564" w:type="dxa"/>
            <w:gridSpan w:val="2"/>
            <w:tcBorders>
              <w:top w:val="single" w:color="000000" w:sz="6" w:space="0"/>
              <w:left w:val="single" w:color="000000" w:sz="6" w:space="0"/>
              <w:bottom w:val="single" w:color="000000" w:sz="6" w:space="0"/>
              <w:right w:val="single" w:color="000000" w:sz="6" w:space="0"/>
            </w:tcBorders>
            <w:vAlign w:val="top"/>
          </w:tcPr>
          <w:p>
            <w:pPr>
              <w:spacing w:line="336" w:lineRule="auto"/>
              <w:jc w:val="center"/>
              <w:rPr>
                <w:rFonts w:hint="eastAsia" w:ascii="方正仿宋_GBK" w:hAnsi="方正仿宋_GBK" w:eastAsia="方正仿宋_GBK" w:cs="方正仿宋_GBK"/>
                <w:sz w:val="24"/>
                <w:szCs w:val="24"/>
              </w:rPr>
            </w:pPr>
          </w:p>
        </w:tc>
        <w:tc>
          <w:tcPr>
            <w:tcW w:w="1431" w:type="dxa"/>
            <w:gridSpan w:val="2"/>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top"/>
          </w:tcPr>
          <w:p>
            <w:pPr>
              <w:jc w:val="center"/>
              <w:rPr>
                <w:rFonts w:hint="eastAsia" w:ascii="方正仿宋_GBK" w:hAnsi="方正仿宋_GBK" w:eastAsia="方正仿宋_GBK" w:cs="方正仿宋_GBK"/>
                <w:sz w:val="24"/>
                <w:szCs w:val="24"/>
              </w:rPr>
            </w:pPr>
          </w:p>
        </w:tc>
        <w:tc>
          <w:tcPr>
            <w:tcW w:w="1140" w:type="dxa"/>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810" w:type="dxa"/>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r>
      <w:tr>
        <w:tblPrEx>
          <w:tblLayout w:type="fixed"/>
          <w:tblCellMar>
            <w:top w:w="0" w:type="dxa"/>
            <w:left w:w="0" w:type="dxa"/>
            <w:bottom w:w="0" w:type="dxa"/>
            <w:right w:w="0" w:type="dxa"/>
          </w:tblCellMar>
        </w:tblPrEx>
        <w:trPr>
          <w:trHeight w:val="446" w:hRule="exact"/>
        </w:trPr>
        <w:tc>
          <w:tcPr>
            <w:tcW w:w="596" w:type="dxa"/>
            <w:tcBorders>
              <w:top w:val="single" w:color="000000" w:sz="6" w:space="0"/>
              <w:left w:val="single" w:color="000000" w:sz="6" w:space="0"/>
              <w:bottom w:val="single" w:color="000000" w:sz="6" w:space="0"/>
              <w:right w:val="single" w:color="000000" w:sz="6" w:space="0"/>
            </w:tcBorders>
            <w:vAlign w:val="top"/>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4385" w:type="dxa"/>
            <w:gridSpan w:val="2"/>
            <w:tcBorders>
              <w:top w:val="single" w:color="000000" w:sz="6" w:space="0"/>
              <w:left w:val="single" w:color="000000" w:sz="6" w:space="0"/>
              <w:bottom w:val="single" w:color="000000" w:sz="6" w:space="0"/>
              <w:right w:val="single" w:color="000000" w:sz="6" w:space="0"/>
            </w:tcBorders>
            <w:vAlign w:val="top"/>
          </w:tcPr>
          <w:p>
            <w:pPr>
              <w:spacing w:line="336" w:lineRule="auto"/>
              <w:jc w:val="center"/>
              <w:rPr>
                <w:rFonts w:hint="eastAsia" w:ascii="方正仿宋_GBK" w:hAnsi="方正仿宋_GBK" w:eastAsia="方正仿宋_GBK" w:cs="方正仿宋_GBK"/>
                <w:sz w:val="24"/>
                <w:szCs w:val="24"/>
              </w:rPr>
            </w:pPr>
          </w:p>
        </w:tc>
        <w:tc>
          <w:tcPr>
            <w:tcW w:w="564" w:type="dxa"/>
            <w:gridSpan w:val="2"/>
            <w:tcBorders>
              <w:top w:val="single" w:color="000000" w:sz="6" w:space="0"/>
              <w:left w:val="single" w:color="000000" w:sz="6" w:space="0"/>
              <w:bottom w:val="single" w:color="000000" w:sz="6" w:space="0"/>
              <w:right w:val="single" w:color="000000" w:sz="6" w:space="0"/>
            </w:tcBorders>
            <w:vAlign w:val="top"/>
          </w:tcPr>
          <w:p>
            <w:pPr>
              <w:spacing w:line="336" w:lineRule="auto"/>
              <w:jc w:val="center"/>
              <w:rPr>
                <w:rFonts w:hint="eastAsia" w:ascii="方正仿宋_GBK" w:hAnsi="方正仿宋_GBK" w:eastAsia="方正仿宋_GBK" w:cs="方正仿宋_GBK"/>
                <w:sz w:val="24"/>
                <w:szCs w:val="24"/>
              </w:rPr>
            </w:pPr>
          </w:p>
        </w:tc>
        <w:tc>
          <w:tcPr>
            <w:tcW w:w="1431" w:type="dxa"/>
            <w:gridSpan w:val="2"/>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top"/>
          </w:tcPr>
          <w:p>
            <w:pPr>
              <w:jc w:val="center"/>
              <w:rPr>
                <w:rFonts w:hint="eastAsia" w:ascii="方正仿宋_GBK" w:hAnsi="方正仿宋_GBK" w:eastAsia="方正仿宋_GBK" w:cs="方正仿宋_GBK"/>
                <w:sz w:val="24"/>
                <w:szCs w:val="24"/>
              </w:rPr>
            </w:pPr>
          </w:p>
        </w:tc>
        <w:tc>
          <w:tcPr>
            <w:tcW w:w="1140" w:type="dxa"/>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810" w:type="dxa"/>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r>
      <w:tr>
        <w:tblPrEx>
          <w:tblLayout w:type="fixed"/>
          <w:tblCellMar>
            <w:top w:w="0" w:type="dxa"/>
            <w:left w:w="0" w:type="dxa"/>
            <w:bottom w:w="0" w:type="dxa"/>
            <w:right w:w="0" w:type="dxa"/>
          </w:tblCellMar>
        </w:tblPrEx>
        <w:trPr>
          <w:trHeight w:val="446" w:hRule="exact"/>
        </w:trPr>
        <w:tc>
          <w:tcPr>
            <w:tcW w:w="596" w:type="dxa"/>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4385" w:type="dxa"/>
            <w:gridSpan w:val="2"/>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564" w:type="dxa"/>
            <w:gridSpan w:val="2"/>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1431" w:type="dxa"/>
            <w:gridSpan w:val="2"/>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1140" w:type="dxa"/>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810" w:type="dxa"/>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r>
      <w:tr>
        <w:tblPrEx>
          <w:tblLayout w:type="fixed"/>
          <w:tblCellMar>
            <w:top w:w="0" w:type="dxa"/>
            <w:left w:w="0" w:type="dxa"/>
            <w:bottom w:w="0" w:type="dxa"/>
            <w:right w:w="0" w:type="dxa"/>
          </w:tblCellMar>
        </w:tblPrEx>
        <w:trPr>
          <w:trHeight w:val="446" w:hRule="exact"/>
        </w:trPr>
        <w:tc>
          <w:tcPr>
            <w:tcW w:w="596" w:type="dxa"/>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438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eastAsia" w:ascii="方正仿宋_GBK" w:hAnsi="方正仿宋_GBK" w:eastAsia="方正仿宋_GBK" w:cs="方正仿宋_GBK"/>
                <w:sz w:val="24"/>
                <w:szCs w:val="24"/>
              </w:rPr>
            </w:pPr>
            <w:r>
              <w:rPr>
                <w:rStyle w:val="34"/>
                <w:rFonts w:hint="eastAsia" w:ascii="方正仿宋_GBK" w:hAnsi="方正仿宋_GBK" w:eastAsia="方正仿宋_GBK" w:cs="方正仿宋_GBK"/>
                <w:b/>
                <w:bCs/>
                <w:sz w:val="24"/>
                <w:szCs w:val="24"/>
              </w:rPr>
              <w:t xml:space="preserve">合计（含 </w:t>
            </w:r>
            <w:r>
              <w:rPr>
                <w:rStyle w:val="34"/>
                <w:rFonts w:hint="eastAsia" w:ascii="方正仿宋_GBK" w:hAnsi="方正仿宋_GBK" w:eastAsia="方正仿宋_GBK" w:cs="方正仿宋_GBK"/>
                <w:b/>
                <w:bCs/>
                <w:sz w:val="24"/>
                <w:szCs w:val="24"/>
                <w:lang w:val="en-US" w:eastAsia="zh-CN"/>
              </w:rPr>
              <w:t>3</w:t>
            </w:r>
            <w:r>
              <w:rPr>
                <w:rStyle w:val="34"/>
                <w:rFonts w:hint="eastAsia" w:ascii="方正仿宋_GBK" w:hAnsi="方正仿宋_GBK" w:eastAsia="方正仿宋_GBK" w:cs="方正仿宋_GBK"/>
                <w:b/>
                <w:bCs/>
                <w:sz w:val="24"/>
                <w:szCs w:val="24"/>
              </w:rPr>
              <w:t xml:space="preserve"> %增值税</w:t>
            </w:r>
            <w:r>
              <w:rPr>
                <w:rStyle w:val="34"/>
                <w:rFonts w:hint="eastAsia" w:ascii="方正仿宋_GBK" w:hAnsi="方正仿宋_GBK" w:eastAsia="方正仿宋_GBK" w:cs="方正仿宋_GBK"/>
                <w:b/>
                <w:bCs/>
                <w:sz w:val="24"/>
                <w:szCs w:val="24"/>
                <w:lang w:eastAsia="zh-CN"/>
              </w:rPr>
              <w:t>专用</w:t>
            </w:r>
            <w:r>
              <w:rPr>
                <w:rStyle w:val="34"/>
                <w:rFonts w:hint="eastAsia" w:ascii="方正仿宋_GBK" w:hAnsi="方正仿宋_GBK" w:eastAsia="方正仿宋_GBK" w:cs="方正仿宋_GBK"/>
                <w:b/>
                <w:bCs/>
                <w:sz w:val="24"/>
                <w:szCs w:val="24"/>
              </w:rPr>
              <w:t>发票）</w:t>
            </w:r>
          </w:p>
        </w:tc>
        <w:tc>
          <w:tcPr>
            <w:tcW w:w="564" w:type="dxa"/>
            <w:gridSpan w:val="2"/>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1431" w:type="dxa"/>
            <w:gridSpan w:val="2"/>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1140" w:type="dxa"/>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c>
          <w:tcPr>
            <w:tcW w:w="810" w:type="dxa"/>
            <w:tcBorders>
              <w:top w:val="single" w:color="000000" w:sz="6" w:space="0"/>
              <w:left w:val="single" w:color="000000" w:sz="6" w:space="0"/>
              <w:bottom w:val="single" w:color="000000" w:sz="6" w:space="0"/>
              <w:right w:val="single" w:color="000000" w:sz="6" w:space="0"/>
            </w:tcBorders>
            <w:vAlign w:val="top"/>
          </w:tcPr>
          <w:p>
            <w:pPr>
              <w:rPr>
                <w:rFonts w:hint="eastAsia" w:ascii="方正仿宋_GBK" w:hAnsi="方正仿宋_GBK" w:eastAsia="方正仿宋_GBK" w:cs="方正仿宋_GBK"/>
                <w:sz w:val="24"/>
                <w:szCs w:val="24"/>
              </w:rPr>
            </w:pPr>
          </w:p>
        </w:tc>
      </w:tr>
      <w:tr>
        <w:tblPrEx>
          <w:tblLayout w:type="fixed"/>
          <w:tblCellMar>
            <w:top w:w="0" w:type="dxa"/>
            <w:left w:w="0" w:type="dxa"/>
            <w:bottom w:w="0" w:type="dxa"/>
            <w:right w:w="0" w:type="dxa"/>
          </w:tblCellMar>
        </w:tblPrEx>
        <w:trPr>
          <w:trHeight w:val="446" w:hRule="exact"/>
        </w:trPr>
        <w:tc>
          <w:tcPr>
            <w:tcW w:w="596" w:type="dxa"/>
            <w:tcBorders>
              <w:top w:val="single" w:color="000000" w:sz="6" w:space="0"/>
              <w:left w:val="single" w:color="000000" w:sz="6" w:space="0"/>
              <w:bottom w:val="single" w:color="000000" w:sz="6" w:space="0"/>
              <w:right w:val="single" w:color="000000" w:sz="6" w:space="0"/>
            </w:tcBorders>
            <w:vAlign w:val="top"/>
          </w:tcPr>
          <w:p>
            <w:pPr>
              <w:pStyle w:val="33"/>
              <w:kinsoku w:val="0"/>
              <w:overflowPunct w:val="0"/>
              <w:spacing w:before="59"/>
              <w:ind w:left="194"/>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w:t>
            </w:r>
          </w:p>
        </w:tc>
        <w:tc>
          <w:tcPr>
            <w:tcW w:w="9395" w:type="dxa"/>
            <w:gridSpan w:val="9"/>
            <w:tcBorders>
              <w:top w:val="single" w:color="000000" w:sz="6" w:space="0"/>
              <w:left w:val="single" w:color="000000" w:sz="6" w:space="0"/>
              <w:bottom w:val="single" w:color="000000" w:sz="6" w:space="0"/>
              <w:right w:val="single" w:color="000000" w:sz="6" w:space="0"/>
            </w:tcBorders>
            <w:vAlign w:val="center"/>
          </w:tcPr>
          <w:p>
            <w:pP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sz w:val="24"/>
                <w:szCs w:val="24"/>
              </w:rPr>
              <w:t>资质：</w:t>
            </w:r>
          </w:p>
        </w:tc>
      </w:tr>
      <w:tr>
        <w:tblPrEx>
          <w:tblLayout w:type="fixed"/>
          <w:tblCellMar>
            <w:top w:w="0" w:type="dxa"/>
            <w:left w:w="0" w:type="dxa"/>
            <w:bottom w:w="0" w:type="dxa"/>
            <w:right w:w="0" w:type="dxa"/>
          </w:tblCellMar>
        </w:tblPrEx>
        <w:trPr>
          <w:trHeight w:val="271" w:hRule="exact"/>
        </w:trPr>
        <w:tc>
          <w:tcPr>
            <w:tcW w:w="596" w:type="dxa"/>
            <w:vMerge w:val="restart"/>
            <w:tcBorders>
              <w:top w:val="single" w:color="000000" w:sz="6" w:space="0"/>
              <w:left w:val="single" w:color="000000" w:sz="6" w:space="0"/>
              <w:right w:val="single" w:color="000000" w:sz="6" w:space="0"/>
            </w:tcBorders>
            <w:vAlign w:val="center"/>
          </w:tcPr>
          <w:p>
            <w:pPr>
              <w:pStyle w:val="33"/>
              <w:kinsoku w:val="0"/>
              <w:overflowPunct w:val="0"/>
              <w:spacing w:before="59"/>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2.1</w:t>
            </w:r>
          </w:p>
        </w:tc>
        <w:tc>
          <w:tcPr>
            <w:tcW w:w="4625" w:type="dxa"/>
            <w:gridSpan w:val="3"/>
            <w:tcBorders>
              <w:top w:val="single" w:color="000000" w:sz="6" w:space="0"/>
              <w:left w:val="single" w:color="000000" w:sz="6" w:space="0"/>
              <w:bottom w:val="single" w:color="auto" w:sz="4" w:space="0"/>
              <w:right w:val="single" w:color="auto" w:sz="4" w:space="0"/>
            </w:tcBorders>
            <w:vAlign w:val="center"/>
          </w:tcPr>
          <w:p>
            <w:pPr>
              <w:ind w:left="105" w:leftChars="5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Cs/>
                <w:sz w:val="24"/>
                <w:szCs w:val="24"/>
              </w:rPr>
              <w:t>（1）</w:t>
            </w:r>
            <w:r>
              <w:rPr>
                <w:rFonts w:hint="eastAsia" w:ascii="方正仿宋_GBK" w:hAnsi="方正仿宋_GBK" w:eastAsia="方正仿宋_GBK" w:cs="方正仿宋_GBK"/>
                <w:bCs/>
                <w:sz w:val="24"/>
                <w:szCs w:val="24"/>
                <w:lang w:eastAsia="zh-CN"/>
              </w:rPr>
              <w:t>营业执照</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□有     □无</w:t>
            </w:r>
          </w:p>
        </w:tc>
        <w:tc>
          <w:tcPr>
            <w:tcW w:w="4770" w:type="dxa"/>
            <w:gridSpan w:val="6"/>
            <w:tcBorders>
              <w:top w:val="single" w:color="000000" w:sz="6" w:space="0"/>
              <w:left w:val="single" w:color="auto" w:sz="4" w:space="0"/>
              <w:bottom w:val="single" w:color="auto" w:sz="4" w:space="0"/>
              <w:right w:val="single" w:color="000000" w:sz="6" w:space="0"/>
            </w:tcBorders>
            <w:vAlign w:val="center"/>
          </w:tcPr>
          <w:p>
            <w:pPr>
              <w:ind w:left="105" w:leftChars="5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Cs/>
                <w:sz w:val="24"/>
                <w:szCs w:val="24"/>
              </w:rPr>
              <w:t>（2）</w:t>
            </w:r>
            <w:r>
              <w:rPr>
                <w:rFonts w:hint="eastAsia" w:ascii="方正仿宋_GBK" w:hAnsi="方正仿宋_GBK" w:eastAsia="方正仿宋_GBK" w:cs="方正仿宋_GBK"/>
                <w:bCs/>
                <w:sz w:val="24"/>
                <w:szCs w:val="24"/>
                <w:lang w:eastAsia="zh-CN"/>
              </w:rPr>
              <w:t>法人身份证</w:t>
            </w:r>
            <w:r>
              <w:rPr>
                <w:rFonts w:hint="eastAsia" w:ascii="方正仿宋_GBK" w:hAnsi="方正仿宋_GBK" w:eastAsia="方正仿宋_GBK" w:cs="方正仿宋_GBK"/>
                <w:bCs/>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□有     □无</w:t>
            </w:r>
          </w:p>
        </w:tc>
      </w:tr>
      <w:tr>
        <w:tblPrEx>
          <w:tblLayout w:type="fixed"/>
          <w:tblCellMar>
            <w:top w:w="0" w:type="dxa"/>
            <w:left w:w="0" w:type="dxa"/>
            <w:bottom w:w="0" w:type="dxa"/>
            <w:right w:w="0" w:type="dxa"/>
          </w:tblCellMar>
        </w:tblPrEx>
        <w:trPr>
          <w:trHeight w:val="333" w:hRule="exact"/>
        </w:trPr>
        <w:tc>
          <w:tcPr>
            <w:tcW w:w="596" w:type="dxa"/>
            <w:vMerge w:val="continue"/>
            <w:tcBorders>
              <w:left w:val="single" w:color="000000" w:sz="6" w:space="0"/>
              <w:right w:val="single" w:color="000000" w:sz="6" w:space="0"/>
            </w:tcBorders>
            <w:vAlign w:val="center"/>
          </w:tcPr>
          <w:p>
            <w:pPr>
              <w:pStyle w:val="33"/>
              <w:kinsoku w:val="0"/>
              <w:overflowPunct w:val="0"/>
              <w:spacing w:before="59"/>
              <w:jc w:val="center"/>
              <w:rPr>
                <w:rFonts w:hint="eastAsia" w:ascii="方正仿宋_GBK" w:hAnsi="方正仿宋_GBK" w:eastAsia="方正仿宋_GBK" w:cs="方正仿宋_GBK"/>
                <w:b/>
                <w:bCs/>
                <w:sz w:val="24"/>
                <w:szCs w:val="24"/>
              </w:rPr>
            </w:pPr>
          </w:p>
        </w:tc>
        <w:tc>
          <w:tcPr>
            <w:tcW w:w="4625" w:type="dxa"/>
            <w:gridSpan w:val="3"/>
            <w:tcBorders>
              <w:top w:val="single" w:color="auto" w:sz="4" w:space="0"/>
              <w:left w:val="single" w:color="000000" w:sz="6" w:space="0"/>
              <w:bottom w:val="single" w:color="000000" w:sz="6" w:space="0"/>
              <w:right w:val="single" w:color="auto" w:sz="4" w:space="0"/>
            </w:tcBorders>
            <w:vAlign w:val="center"/>
          </w:tcPr>
          <w:p>
            <w:pPr>
              <w:ind w:left="105" w:leftChars="5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（3）</w:t>
            </w:r>
            <w:r>
              <w:rPr>
                <w:rFonts w:hint="eastAsia" w:ascii="方正仿宋_GBK" w:hAnsi="方正仿宋_GBK" w:eastAsia="方正仿宋_GBK" w:cs="方正仿宋_GBK"/>
                <w:bCs/>
                <w:sz w:val="24"/>
                <w:szCs w:val="24"/>
                <w:lang w:eastAsia="zh-CN"/>
              </w:rPr>
              <w:t>特种行业操作证</w:t>
            </w:r>
            <w:r>
              <w:rPr>
                <w:rFonts w:hint="eastAsia" w:ascii="方正仿宋_GBK" w:hAnsi="方正仿宋_GBK" w:eastAsia="方正仿宋_GBK" w:cs="方正仿宋_GBK"/>
                <w:sz w:val="24"/>
                <w:szCs w:val="24"/>
              </w:rPr>
              <w:t xml:space="preserve">        □有     □无</w:t>
            </w:r>
          </w:p>
        </w:tc>
        <w:tc>
          <w:tcPr>
            <w:tcW w:w="4770" w:type="dxa"/>
            <w:gridSpan w:val="6"/>
            <w:tcBorders>
              <w:top w:val="single" w:color="auto" w:sz="4" w:space="0"/>
              <w:left w:val="single" w:color="auto" w:sz="4" w:space="0"/>
              <w:bottom w:val="single" w:color="000000" w:sz="6" w:space="0"/>
              <w:right w:val="single" w:color="000000" w:sz="6" w:space="0"/>
            </w:tcBorders>
            <w:vAlign w:val="center"/>
          </w:tcPr>
          <w:p>
            <w:pPr>
              <w:ind w:left="105" w:leftChars="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eastAsia="zh-CN"/>
              </w:rPr>
              <w:t>焊工证书</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□有     □无</w:t>
            </w:r>
          </w:p>
        </w:tc>
      </w:tr>
      <w:tr>
        <w:tblPrEx>
          <w:tblLayout w:type="fixed"/>
          <w:tblCellMar>
            <w:top w:w="0" w:type="dxa"/>
            <w:left w:w="0" w:type="dxa"/>
            <w:bottom w:w="0" w:type="dxa"/>
            <w:right w:w="0" w:type="dxa"/>
          </w:tblCellMar>
        </w:tblPrEx>
        <w:trPr>
          <w:trHeight w:val="446" w:hRule="exact"/>
        </w:trPr>
        <w:tc>
          <w:tcPr>
            <w:tcW w:w="596" w:type="dxa"/>
            <w:vMerge w:val="continue"/>
            <w:tcBorders>
              <w:left w:val="single" w:color="000000" w:sz="6" w:space="0"/>
              <w:bottom w:val="single" w:color="000000" w:sz="6" w:space="0"/>
              <w:right w:val="single" w:color="000000" w:sz="6" w:space="0"/>
            </w:tcBorders>
            <w:vAlign w:val="top"/>
          </w:tcPr>
          <w:p>
            <w:pPr>
              <w:pStyle w:val="33"/>
              <w:kinsoku w:val="0"/>
              <w:overflowPunct w:val="0"/>
              <w:spacing w:before="59"/>
              <w:ind w:left="194"/>
              <w:rPr>
                <w:rFonts w:hint="eastAsia" w:ascii="方正仿宋_GBK" w:hAnsi="方正仿宋_GBK" w:eastAsia="方正仿宋_GBK" w:cs="方正仿宋_GBK"/>
                <w:b/>
                <w:bCs/>
                <w:sz w:val="24"/>
                <w:szCs w:val="24"/>
              </w:rPr>
            </w:pPr>
          </w:p>
        </w:tc>
        <w:tc>
          <w:tcPr>
            <w:tcW w:w="4625" w:type="dxa"/>
            <w:gridSpan w:val="3"/>
            <w:tcBorders>
              <w:top w:val="single" w:color="000000" w:sz="6" w:space="0"/>
              <w:left w:val="single" w:color="000000" w:sz="6" w:space="0"/>
              <w:bottom w:val="single" w:color="000000" w:sz="6" w:space="0"/>
              <w:right w:val="single" w:color="auto" w:sz="4" w:space="0"/>
            </w:tcBorders>
            <w:vAlign w:val="center"/>
          </w:tcPr>
          <w:p>
            <w:pPr>
              <w:ind w:left="105" w:leftChars="5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（5）</w:t>
            </w:r>
            <w:r>
              <w:rPr>
                <w:rFonts w:hint="eastAsia" w:ascii="方正仿宋_GBK" w:hAnsi="方正仿宋_GBK" w:eastAsia="方正仿宋_GBK" w:cs="方正仿宋_GBK"/>
                <w:sz w:val="24"/>
                <w:szCs w:val="24"/>
                <w:lang w:eastAsia="zh-CN"/>
              </w:rPr>
              <w:t>特种设备操作证</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□有     □无</w:t>
            </w:r>
          </w:p>
        </w:tc>
        <w:tc>
          <w:tcPr>
            <w:tcW w:w="4770" w:type="dxa"/>
            <w:gridSpan w:val="6"/>
            <w:tcBorders>
              <w:top w:val="single" w:color="000000" w:sz="6" w:space="0"/>
              <w:left w:val="single" w:color="auto" w:sz="4" w:space="0"/>
              <w:bottom w:val="single" w:color="000000" w:sz="6" w:space="0"/>
              <w:right w:val="single" w:color="000000" w:sz="6" w:space="0"/>
            </w:tcBorders>
            <w:vAlign w:val="center"/>
          </w:tcPr>
          <w:p>
            <w:pPr>
              <w:ind w:left="105" w:leftChars="5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sz w:val="24"/>
                <w:szCs w:val="24"/>
                <w:lang w:val="en-US" w:eastAsia="zh-CN"/>
              </w:rPr>
              <w:t xml:space="preserve"> （6）配置技术管理人员        </w:t>
            </w:r>
            <w:r>
              <w:rPr>
                <w:rFonts w:hint="eastAsia" w:ascii="方正仿宋_GBK" w:hAnsi="方正仿宋_GBK" w:eastAsia="方正仿宋_GBK" w:cs="方正仿宋_GBK"/>
                <w:sz w:val="24"/>
                <w:szCs w:val="24"/>
              </w:rPr>
              <w:t>□有     □无</w:t>
            </w:r>
          </w:p>
        </w:tc>
      </w:tr>
      <w:tr>
        <w:tblPrEx>
          <w:tblLayout w:type="fixed"/>
          <w:tblCellMar>
            <w:top w:w="0" w:type="dxa"/>
            <w:left w:w="0" w:type="dxa"/>
            <w:bottom w:w="0" w:type="dxa"/>
            <w:right w:w="0" w:type="dxa"/>
          </w:tblCellMar>
        </w:tblPrEx>
        <w:trPr>
          <w:trHeight w:val="446" w:hRule="exact"/>
        </w:trPr>
        <w:tc>
          <w:tcPr>
            <w:tcW w:w="596" w:type="dxa"/>
            <w:tcBorders>
              <w:top w:val="single" w:color="000000" w:sz="6" w:space="0"/>
              <w:left w:val="single" w:color="000000" w:sz="6" w:space="0"/>
              <w:bottom w:val="single" w:color="000000" w:sz="6" w:space="0"/>
              <w:right w:val="single" w:color="000000" w:sz="6" w:space="0"/>
            </w:tcBorders>
            <w:vAlign w:val="top"/>
          </w:tcPr>
          <w:p>
            <w:pPr>
              <w:pStyle w:val="33"/>
              <w:kinsoku w:val="0"/>
              <w:overflowPunct w:val="0"/>
              <w:spacing w:before="59"/>
              <w:ind w:left="194"/>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w:t>
            </w:r>
          </w:p>
        </w:tc>
        <w:tc>
          <w:tcPr>
            <w:tcW w:w="9395" w:type="dxa"/>
            <w:gridSpan w:val="9"/>
            <w:tcBorders>
              <w:top w:val="single" w:color="000000" w:sz="6" w:space="0"/>
              <w:left w:val="single" w:color="000000" w:sz="6" w:space="0"/>
              <w:bottom w:val="single" w:color="000000" w:sz="6" w:space="0"/>
              <w:right w:val="single" w:color="000000" w:sz="6" w:space="0"/>
            </w:tcBorders>
            <w:vAlign w:val="center"/>
          </w:tcPr>
          <w:p>
            <w:pP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付款及服务承诺：</w:t>
            </w:r>
          </w:p>
        </w:tc>
      </w:tr>
      <w:tr>
        <w:tblPrEx>
          <w:tblLayout w:type="fixed"/>
          <w:tblCellMar>
            <w:top w:w="0" w:type="dxa"/>
            <w:left w:w="0" w:type="dxa"/>
            <w:bottom w:w="0" w:type="dxa"/>
            <w:right w:w="0" w:type="dxa"/>
          </w:tblCellMar>
        </w:tblPrEx>
        <w:trPr>
          <w:trHeight w:val="446" w:hRule="exact"/>
        </w:trPr>
        <w:tc>
          <w:tcPr>
            <w:tcW w:w="596" w:type="dxa"/>
            <w:tcBorders>
              <w:top w:val="single" w:color="000000" w:sz="6" w:space="0"/>
              <w:left w:val="single" w:color="000000" w:sz="6" w:space="0"/>
              <w:bottom w:val="single" w:color="000000" w:sz="6" w:space="0"/>
              <w:right w:val="single" w:color="000000" w:sz="6" w:space="0"/>
            </w:tcBorders>
            <w:vAlign w:val="top"/>
          </w:tcPr>
          <w:p>
            <w:pPr>
              <w:pStyle w:val="33"/>
              <w:kinsoku w:val="0"/>
              <w:overflowPunct w:val="0"/>
              <w:spacing w:before="59"/>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3.1</w:t>
            </w:r>
          </w:p>
        </w:tc>
        <w:tc>
          <w:tcPr>
            <w:tcW w:w="9395" w:type="dxa"/>
            <w:gridSpan w:val="9"/>
            <w:tcBorders>
              <w:top w:val="single" w:color="000000" w:sz="6" w:space="0"/>
              <w:left w:val="single" w:color="000000" w:sz="6" w:space="0"/>
              <w:bottom w:val="single" w:color="000000" w:sz="6" w:space="0"/>
              <w:right w:val="single" w:color="000000" w:sz="6" w:space="0"/>
            </w:tcBorders>
            <w:vAlign w:val="center"/>
          </w:tcPr>
          <w:p>
            <w:pPr>
              <w:ind w:left="105" w:leftChars="5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付款条件</w:t>
            </w:r>
            <w:r>
              <w:rPr>
                <w:rFonts w:hint="eastAsia" w:ascii="方正仿宋_GBK" w:hAnsi="方正仿宋_GBK" w:eastAsia="方正仿宋_GBK" w:cs="方正仿宋_GBK"/>
                <w:bCs/>
                <w:sz w:val="24"/>
                <w:szCs w:val="24"/>
              </w:rPr>
              <w:t>：</w:t>
            </w:r>
            <w:r>
              <w:rPr>
                <w:rFonts w:hint="eastAsia" w:ascii="方正仿宋_GBK" w:hAnsi="方正仿宋_GBK" w:eastAsia="方正仿宋_GBK" w:cs="方正仿宋_GBK"/>
                <w:bCs/>
                <w:sz w:val="24"/>
                <w:szCs w:val="24"/>
                <w:lang w:eastAsia="zh-CN"/>
              </w:rPr>
              <w:t>按照建造节点进行</w:t>
            </w:r>
            <w:r>
              <w:rPr>
                <w:rFonts w:hint="eastAsia" w:ascii="方正仿宋_GBK" w:hAnsi="方正仿宋_GBK" w:eastAsia="方正仿宋_GBK" w:cs="方正仿宋_GBK"/>
                <w:bCs/>
                <w:sz w:val="24"/>
                <w:szCs w:val="24"/>
              </w:rPr>
              <w:t xml:space="preserve">结算     </w:t>
            </w:r>
            <w:r>
              <w:rPr>
                <w:rFonts w:hint="eastAsia" w:ascii="方正仿宋_GBK" w:hAnsi="方正仿宋_GBK" w:eastAsia="方正仿宋_GBK" w:cs="方正仿宋_GBK"/>
                <w:sz w:val="24"/>
                <w:szCs w:val="24"/>
              </w:rPr>
              <w:t>□是     □否</w:t>
            </w:r>
          </w:p>
        </w:tc>
      </w:tr>
      <w:tr>
        <w:tblPrEx>
          <w:tblLayout w:type="fixed"/>
          <w:tblCellMar>
            <w:top w:w="0" w:type="dxa"/>
            <w:left w:w="0" w:type="dxa"/>
            <w:bottom w:w="0" w:type="dxa"/>
            <w:right w:w="0" w:type="dxa"/>
          </w:tblCellMar>
        </w:tblPrEx>
        <w:trPr>
          <w:trHeight w:val="446" w:hRule="exact"/>
        </w:trPr>
        <w:tc>
          <w:tcPr>
            <w:tcW w:w="596" w:type="dxa"/>
            <w:tcBorders>
              <w:top w:val="single" w:color="000000" w:sz="6" w:space="0"/>
              <w:left w:val="single" w:color="000000" w:sz="6" w:space="0"/>
              <w:bottom w:val="single" w:color="000000" w:sz="6" w:space="0"/>
              <w:right w:val="single" w:color="000000" w:sz="6" w:space="0"/>
            </w:tcBorders>
            <w:vAlign w:val="top"/>
          </w:tcPr>
          <w:p>
            <w:pPr>
              <w:pStyle w:val="33"/>
              <w:kinsoku w:val="0"/>
              <w:overflowPunct w:val="0"/>
              <w:spacing w:before="59"/>
              <w:jc w:val="center"/>
              <w:rPr>
                <w:rFonts w:hint="eastAsia" w:ascii="方正仿宋_GBK" w:hAnsi="方正仿宋_GBK" w:eastAsia="方正仿宋_GBK" w:cs="方正仿宋_GBK"/>
                <w:b/>
                <w:sz w:val="24"/>
                <w:szCs w:val="24"/>
                <w:lang w:val="en-US" w:eastAsia="zh-CN"/>
              </w:rPr>
            </w:pPr>
            <w:r>
              <w:rPr>
                <w:rFonts w:hint="eastAsia" w:ascii="方正仿宋_GBK" w:hAnsi="方正仿宋_GBK" w:eastAsia="方正仿宋_GBK" w:cs="方正仿宋_GBK"/>
                <w:b/>
                <w:sz w:val="24"/>
                <w:szCs w:val="24"/>
                <w:lang w:val="en-US" w:eastAsia="zh-CN"/>
              </w:rPr>
              <w:t>3.2</w:t>
            </w:r>
          </w:p>
        </w:tc>
        <w:tc>
          <w:tcPr>
            <w:tcW w:w="9395" w:type="dxa"/>
            <w:gridSpan w:val="9"/>
            <w:tcBorders>
              <w:top w:val="single" w:color="000000" w:sz="6" w:space="0"/>
              <w:left w:val="single" w:color="000000" w:sz="6" w:space="0"/>
              <w:bottom w:val="single" w:color="000000" w:sz="6" w:space="0"/>
              <w:right w:val="single" w:color="000000" w:sz="6" w:space="0"/>
            </w:tcBorders>
            <w:vAlign w:val="center"/>
          </w:tcPr>
          <w:p>
            <w:pPr>
              <w:ind w:left="105" w:leftChars="5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服务承诺</w:t>
            </w:r>
          </w:p>
        </w:tc>
      </w:tr>
      <w:tr>
        <w:tblPrEx>
          <w:tblLayout w:type="fixed"/>
          <w:tblCellMar>
            <w:top w:w="0" w:type="dxa"/>
            <w:left w:w="0" w:type="dxa"/>
            <w:bottom w:w="0" w:type="dxa"/>
            <w:right w:w="0" w:type="dxa"/>
          </w:tblCellMar>
        </w:tblPrEx>
        <w:trPr>
          <w:trHeight w:val="446" w:hRule="exact"/>
        </w:trPr>
        <w:tc>
          <w:tcPr>
            <w:tcW w:w="596" w:type="dxa"/>
            <w:tcBorders>
              <w:top w:val="single" w:color="000000" w:sz="6" w:space="0"/>
              <w:left w:val="single" w:color="000000" w:sz="6" w:space="0"/>
              <w:bottom w:val="single" w:color="000000" w:sz="6" w:space="0"/>
              <w:right w:val="single" w:color="000000" w:sz="6" w:space="0"/>
            </w:tcBorders>
            <w:vAlign w:val="top"/>
          </w:tcPr>
          <w:p>
            <w:pPr>
              <w:pStyle w:val="33"/>
              <w:kinsoku w:val="0"/>
              <w:overflowPunct w:val="0"/>
              <w:spacing w:before="59"/>
              <w:jc w:val="center"/>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sz w:val="24"/>
                <w:szCs w:val="24"/>
                <w:lang w:val="en-US" w:eastAsia="zh-CN"/>
              </w:rPr>
              <w:t>1</w:t>
            </w:r>
          </w:p>
        </w:tc>
        <w:tc>
          <w:tcPr>
            <w:tcW w:w="9395" w:type="dxa"/>
            <w:gridSpan w:val="9"/>
            <w:tcBorders>
              <w:top w:val="single" w:color="000000" w:sz="6" w:space="0"/>
              <w:left w:val="single" w:color="000000" w:sz="6" w:space="0"/>
              <w:bottom w:val="single" w:color="000000" w:sz="6" w:space="0"/>
              <w:right w:val="single" w:color="000000" w:sz="6" w:space="0"/>
            </w:tcBorders>
            <w:vAlign w:val="center"/>
          </w:tcPr>
          <w:p>
            <w:pPr>
              <w:ind w:left="105" w:leftChars="5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bCs/>
                <w:sz w:val="24"/>
                <w:szCs w:val="24"/>
                <w:lang w:eastAsia="zh-CN"/>
              </w:rPr>
              <w:t>按照甲方的工期要求和节点完成建造任务</w:t>
            </w:r>
            <w:r>
              <w:rPr>
                <w:rFonts w:hint="eastAsia" w:ascii="方正仿宋_GBK" w:hAnsi="方正仿宋_GBK" w:eastAsia="方正仿宋_GBK" w:cs="方正仿宋_GBK"/>
                <w:b/>
                <w:bCs/>
                <w:sz w:val="24"/>
                <w:szCs w:val="24"/>
                <w:lang w:val="en-US" w:eastAsia="zh-CN"/>
              </w:rPr>
              <w:t xml:space="preserve">             </w:t>
            </w:r>
            <w:r>
              <w:rPr>
                <w:rFonts w:hint="eastAsia" w:ascii="方正仿宋_GBK" w:hAnsi="方正仿宋_GBK" w:eastAsia="方正仿宋_GBK" w:cs="方正仿宋_GBK"/>
                <w:sz w:val="24"/>
                <w:szCs w:val="24"/>
              </w:rPr>
              <w:t xml:space="preserve">□有     □无 </w:t>
            </w:r>
          </w:p>
        </w:tc>
      </w:tr>
      <w:tr>
        <w:tblPrEx>
          <w:tblLayout w:type="fixed"/>
          <w:tblCellMar>
            <w:top w:w="0" w:type="dxa"/>
            <w:left w:w="0" w:type="dxa"/>
            <w:bottom w:w="0" w:type="dxa"/>
            <w:right w:w="0" w:type="dxa"/>
          </w:tblCellMar>
        </w:tblPrEx>
        <w:trPr>
          <w:trHeight w:val="408" w:hRule="exact"/>
        </w:trPr>
        <w:tc>
          <w:tcPr>
            <w:tcW w:w="596" w:type="dxa"/>
            <w:tcBorders>
              <w:top w:val="single" w:color="000000" w:sz="6" w:space="0"/>
              <w:left w:val="single" w:color="000000" w:sz="6" w:space="0"/>
              <w:bottom w:val="single" w:color="000000" w:sz="6" w:space="0"/>
              <w:right w:val="single" w:color="000000" w:sz="6" w:space="0"/>
            </w:tcBorders>
            <w:vAlign w:val="top"/>
          </w:tcPr>
          <w:p>
            <w:pPr>
              <w:pStyle w:val="33"/>
              <w:kinsoku w:val="0"/>
              <w:overflowPunct w:val="0"/>
              <w:spacing w:before="91"/>
              <w:ind w:left="16"/>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9395" w:type="dxa"/>
            <w:gridSpan w:val="9"/>
            <w:tcBorders>
              <w:top w:val="single" w:color="000000" w:sz="6" w:space="0"/>
              <w:left w:val="single" w:color="000000" w:sz="6" w:space="0"/>
              <w:bottom w:val="single" w:color="000000" w:sz="6" w:space="0"/>
              <w:right w:val="single" w:color="000000" w:sz="6" w:space="0"/>
            </w:tcBorders>
            <w:vAlign w:val="top"/>
          </w:tcPr>
          <w:p>
            <w:pPr>
              <w:ind w:left="105" w:leftChars="5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施工单位是否为施工人员购买雇主责任险</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□有     □无 </w:t>
            </w:r>
          </w:p>
        </w:tc>
      </w:tr>
      <w:tr>
        <w:tblPrEx>
          <w:tblLayout w:type="fixed"/>
          <w:tblCellMar>
            <w:top w:w="0" w:type="dxa"/>
            <w:left w:w="0" w:type="dxa"/>
            <w:bottom w:w="0" w:type="dxa"/>
            <w:right w:w="0" w:type="dxa"/>
          </w:tblCellMar>
        </w:tblPrEx>
        <w:trPr>
          <w:trHeight w:val="656" w:hRule="exact"/>
        </w:trPr>
        <w:tc>
          <w:tcPr>
            <w:tcW w:w="596" w:type="dxa"/>
            <w:tcBorders>
              <w:top w:val="single" w:color="000000" w:sz="6" w:space="0"/>
              <w:left w:val="single" w:color="000000" w:sz="6" w:space="0"/>
              <w:bottom w:val="single" w:color="000000" w:sz="6" w:space="0"/>
              <w:right w:val="single" w:color="000000" w:sz="6" w:space="0"/>
            </w:tcBorders>
            <w:vAlign w:val="top"/>
          </w:tcPr>
          <w:p>
            <w:pPr>
              <w:pStyle w:val="33"/>
              <w:kinsoku w:val="0"/>
              <w:overflowPunct w:val="0"/>
              <w:spacing w:before="91"/>
              <w:ind w:left="16"/>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9395" w:type="dxa"/>
            <w:gridSpan w:val="9"/>
            <w:tcBorders>
              <w:top w:val="single" w:color="000000" w:sz="6" w:space="0"/>
              <w:left w:val="single" w:color="000000" w:sz="6" w:space="0"/>
              <w:bottom w:val="single" w:color="000000" w:sz="6" w:space="0"/>
              <w:right w:val="single" w:color="000000" w:sz="6" w:space="0"/>
            </w:tcBorders>
            <w:vAlign w:val="top"/>
          </w:tcPr>
          <w:p>
            <w:pPr>
              <w:ind w:left="105" w:leftChars="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在重庆地区是否有专业的</w:t>
            </w:r>
            <w:r>
              <w:rPr>
                <w:rFonts w:hint="eastAsia" w:ascii="方正仿宋_GBK" w:hAnsi="方正仿宋_GBK" w:eastAsia="方正仿宋_GBK" w:cs="方正仿宋_GBK"/>
                <w:sz w:val="24"/>
                <w:szCs w:val="24"/>
                <w:lang w:eastAsia="zh-CN"/>
              </w:rPr>
              <w:t>售后</w:t>
            </w:r>
            <w:r>
              <w:rPr>
                <w:rFonts w:hint="eastAsia" w:ascii="方正仿宋_GBK" w:hAnsi="方正仿宋_GBK" w:eastAsia="方正仿宋_GBK" w:cs="方正仿宋_GBK"/>
                <w:sz w:val="24"/>
                <w:szCs w:val="24"/>
              </w:rPr>
              <w:t xml:space="preserve">服务站或公司           □有     □无    </w:t>
            </w:r>
          </w:p>
          <w:p>
            <w:pPr>
              <w:ind w:left="105" w:leftChars="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售后服务人员姓名：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电话：</w:t>
            </w:r>
          </w:p>
        </w:tc>
      </w:tr>
      <w:tr>
        <w:tblPrEx>
          <w:tblLayout w:type="fixed"/>
          <w:tblCellMar>
            <w:top w:w="0" w:type="dxa"/>
            <w:left w:w="0" w:type="dxa"/>
            <w:bottom w:w="0" w:type="dxa"/>
            <w:right w:w="0" w:type="dxa"/>
          </w:tblCellMar>
        </w:tblPrEx>
        <w:trPr>
          <w:trHeight w:val="446" w:hRule="exact"/>
        </w:trPr>
        <w:tc>
          <w:tcPr>
            <w:tcW w:w="596" w:type="dxa"/>
            <w:tcBorders>
              <w:top w:val="single" w:color="000000" w:sz="6" w:space="0"/>
              <w:left w:val="single" w:color="000000" w:sz="6" w:space="0"/>
              <w:bottom w:val="single" w:color="000000" w:sz="6" w:space="0"/>
              <w:right w:val="single" w:color="000000" w:sz="6" w:space="0"/>
            </w:tcBorders>
            <w:vAlign w:val="top"/>
          </w:tcPr>
          <w:p>
            <w:pPr>
              <w:pStyle w:val="33"/>
              <w:kinsoku w:val="0"/>
              <w:overflowPunct w:val="0"/>
              <w:spacing w:before="91"/>
              <w:ind w:left="16"/>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4</w:t>
            </w:r>
          </w:p>
        </w:tc>
        <w:tc>
          <w:tcPr>
            <w:tcW w:w="2552" w:type="dxa"/>
            <w:tcBorders>
              <w:top w:val="single" w:color="000000" w:sz="6" w:space="0"/>
              <w:left w:val="single" w:color="000000" w:sz="6" w:space="0"/>
              <w:bottom w:val="single" w:color="000000" w:sz="6" w:space="0"/>
              <w:right w:val="single" w:color="000000" w:sz="6" w:space="0"/>
            </w:tcBorders>
            <w:vAlign w:val="top"/>
          </w:tcPr>
          <w:p>
            <w:pPr>
              <w:pStyle w:val="33"/>
              <w:kinsoku w:val="0"/>
              <w:overflowPunct w:val="0"/>
              <w:spacing w:before="59"/>
              <w:ind w:left="105" w:leftChars="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承诺到厂检测时间</w:t>
            </w:r>
          </w:p>
        </w:tc>
        <w:tc>
          <w:tcPr>
            <w:tcW w:w="6843" w:type="dxa"/>
            <w:gridSpan w:val="8"/>
            <w:tcBorders>
              <w:top w:val="single" w:color="000000" w:sz="6" w:space="0"/>
              <w:left w:val="single" w:color="000000" w:sz="6" w:space="0"/>
              <w:bottom w:val="single" w:color="000000" w:sz="6" w:space="0"/>
              <w:right w:val="single" w:color="000000" w:sz="6" w:space="0"/>
            </w:tcBorders>
            <w:vAlign w:val="center"/>
          </w:tcPr>
          <w:p>
            <w:pPr>
              <w:ind w:left="105" w:leftChars="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承诺时间：□</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小时内；□12小时内；□24小时内；□其它</w:t>
            </w:r>
          </w:p>
        </w:tc>
      </w:tr>
    </w:tbl>
    <w:p>
      <w:pPr>
        <w:spacing w:line="400" w:lineRule="exact"/>
        <w:ind w:firstLine="480" w:firstLineChars="200"/>
        <w:rPr>
          <w:rFonts w:hint="eastAsia" w:ascii="方正仿宋_GBK" w:hAnsi="方正仿宋_GBK" w:eastAsia="方正仿宋_GBK" w:cs="方正仿宋_GBK"/>
          <w:sz w:val="24"/>
          <w:szCs w:val="24"/>
        </w:rPr>
      </w:pPr>
    </w:p>
    <w:p>
      <w:pPr>
        <w:spacing w:line="400" w:lineRule="exact"/>
        <w:ind w:firstLine="480" w:firstLineChars="200"/>
        <w:rPr>
          <w:rFonts w:hint="eastAsia" w:ascii="方正仿宋_GBK" w:hAnsi="方正仿宋_GBK" w:eastAsia="方正仿宋_GBK" w:cs="方正仿宋_GBK"/>
          <w:sz w:val="24"/>
          <w:szCs w:val="24"/>
        </w:rPr>
      </w:pPr>
    </w:p>
    <w:p>
      <w:pPr>
        <w:spacing w:line="400" w:lineRule="exact"/>
        <w:rPr>
          <w:rFonts w:hint="eastAsia" w:ascii="方正仿宋_GBK" w:hAnsi="方正仿宋_GBK" w:eastAsia="方正仿宋_GBK" w:cs="方正仿宋_GBK"/>
          <w:sz w:val="24"/>
          <w:szCs w:val="24"/>
        </w:rPr>
      </w:pPr>
    </w:p>
    <w:p>
      <w:pPr>
        <w:spacing w:line="400" w:lineRule="exact"/>
        <w:rPr>
          <w:rFonts w:hint="eastAsia" w:ascii="方正仿宋_GBK" w:hAnsi="方正仿宋_GBK" w:eastAsia="方正仿宋_GBK" w:cs="方正仿宋_GBK"/>
          <w:b/>
          <w:bCs/>
          <w:sz w:val="24"/>
          <w:szCs w:val="24"/>
        </w:rPr>
      </w:pPr>
    </w:p>
    <w:p>
      <w:pPr>
        <w:spacing w:line="400" w:lineRule="exact"/>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报价单位（签章）：                               </w:t>
      </w:r>
    </w:p>
    <w:p>
      <w:pPr>
        <w:spacing w:line="400" w:lineRule="exact"/>
        <w:rPr>
          <w:rFonts w:hint="eastAsia" w:ascii="方正仿宋_GBK" w:hAnsi="方正仿宋_GBK" w:eastAsia="方正仿宋_GBK" w:cs="方正仿宋_GBK"/>
          <w:b/>
          <w:bCs/>
          <w:sz w:val="24"/>
          <w:szCs w:val="24"/>
        </w:rPr>
      </w:pPr>
    </w:p>
    <w:p>
      <w:pPr>
        <w:spacing w:line="360" w:lineRule="auto"/>
        <w:jc w:val="center"/>
        <w:rPr>
          <w:rFonts w:hint="eastAsia" w:ascii="宋体" w:hAnsi="宋体" w:cs="宋体"/>
          <w:b/>
          <w:bCs/>
        </w:rPr>
      </w:pPr>
      <w:r>
        <w:rPr>
          <w:rFonts w:hint="eastAsia" w:ascii="方正仿宋_GBK" w:hAnsi="方正仿宋_GBK" w:eastAsia="方正仿宋_GBK" w:cs="方正仿宋_GBK"/>
          <w:b/>
          <w:bCs/>
          <w:sz w:val="24"/>
          <w:szCs w:val="24"/>
        </w:rPr>
        <w:t>联系人：                    联系电话：                     报价日期：</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年</w:t>
      </w:r>
      <w:r>
        <w:rPr>
          <w:rFonts w:hint="eastAsia" w:ascii="方正仿宋_GBK" w:hAnsi="方正仿宋_GBK" w:eastAsia="方正仿宋_GBK" w:cs="方正仿宋_GBK"/>
          <w:b/>
          <w:bCs/>
          <w:sz w:val="24"/>
          <w:szCs w:val="24"/>
        </w:rPr>
        <w:tab/>
      </w:r>
      <w:r>
        <w:rPr>
          <w:rFonts w:hint="eastAsia" w:ascii="方正仿宋_GBK" w:hAnsi="方正仿宋_GBK" w:eastAsia="方正仿宋_GBK" w:cs="方正仿宋_GBK"/>
          <w:b/>
          <w:bCs/>
          <w:sz w:val="24"/>
          <w:szCs w:val="24"/>
        </w:rPr>
        <w:t>月</w:t>
      </w:r>
      <w:r>
        <w:rPr>
          <w:rFonts w:hint="eastAsia" w:ascii="方正仿宋_GBK" w:hAnsi="方正仿宋_GBK" w:eastAsia="方正仿宋_GBK" w:cs="方正仿宋_GBK"/>
          <w:b/>
          <w:bCs/>
          <w:sz w:val="24"/>
          <w:szCs w:val="24"/>
        </w:rPr>
        <w:tab/>
      </w:r>
    </w:p>
    <w:p>
      <w:pPr>
        <w:pStyle w:val="6"/>
        <w:spacing w:line="360" w:lineRule="auto"/>
        <w:ind w:firstLine="560" w:firstLineChars="200"/>
        <w:rPr>
          <w:rFonts w:hint="eastAsia" w:ascii="方正小标宋_GBK" w:hAnsi="方正小标宋_GBK" w:eastAsia="方正小标宋_GBK" w:cs="方正小标宋_GBK"/>
          <w:b w:val="0"/>
          <w:bCs w:val="0"/>
          <w:color w:val="000000" w:themeColor="text1"/>
          <w:sz w:val="28"/>
          <w:szCs w:val="28"/>
          <w14:textFill>
            <w14:solidFill>
              <w14:schemeClr w14:val="tx1"/>
            </w14:solidFill>
          </w14:textFill>
        </w:rPr>
      </w:pPr>
    </w:p>
    <w:p>
      <w:pPr>
        <w:pStyle w:val="6"/>
        <w:spacing w:line="360" w:lineRule="auto"/>
        <w:ind w:firstLine="560" w:firstLineChars="200"/>
        <w:rPr>
          <w:rFonts w:hint="eastAsia" w:asciiTheme="majorEastAsia" w:hAnsiTheme="majorEastAsia" w:eastAsiaTheme="majorEastAsia"/>
          <w:color w:val="000000" w:themeColor="text1"/>
          <w:sz w:val="28"/>
          <w:szCs w:val="28"/>
          <w14:textFill>
            <w14:solidFill>
              <w14:schemeClr w14:val="tx1"/>
            </w14:solidFill>
          </w14:textFill>
        </w:rPr>
      </w:pPr>
    </w:p>
    <w:p>
      <w:pPr>
        <w:pStyle w:val="6"/>
        <w:spacing w:line="360" w:lineRule="auto"/>
        <w:ind w:firstLine="570"/>
        <w:rPr>
          <w:rFonts w:hint="eastAsia" w:ascii="方正小标宋_GBK" w:hAnsi="方正小标宋_GBK" w:eastAsia="方正小标宋_GBK" w:cs="方正小标宋_GBK"/>
          <w:b w:val="0"/>
          <w:bCs w:val="0"/>
          <w:color w:val="000000" w:themeColor="text1"/>
          <w:sz w:val="28"/>
          <w:szCs w:val="28"/>
          <w14:textFill>
            <w14:solidFill>
              <w14:schemeClr w14:val="tx1"/>
            </w14:solidFill>
          </w14:textFill>
        </w:rPr>
      </w:pPr>
    </w:p>
    <w:sectPr>
      <w:footerReference r:id="rId4" w:type="default"/>
      <w:pgSz w:w="11906" w:h="16838"/>
      <w:pgMar w:top="1134" w:right="1134" w:bottom="1134" w:left="1134"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lotter">
    <w:altName w:val="Times New Roman"/>
    <w:panose1 w:val="00000000000000000000"/>
    <w:charset w:val="00"/>
    <w:family w:val="roman"/>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00000" w:csb1="00000000"/>
  </w:font>
  <w:font w:name="等线">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中等线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posOffset>2490470</wp:posOffset>
              </wp:positionH>
              <wp:positionV relativeFrom="paragraph">
                <wp:posOffset>85090</wp:posOffset>
              </wp:positionV>
              <wp:extent cx="1158875" cy="2235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58949" cy="223283"/>
                      </a:xfrm>
                      <a:prstGeom prst="rect">
                        <a:avLst/>
                      </a:prstGeom>
                      <a:noFill/>
                      <a:ln w="15875">
                        <a:noFill/>
                      </a:ln>
                    </wps:spPr>
                    <wps:txbx>
                      <w:txbxContent>
                        <w:p>
                          <w:pPr>
                            <w:pStyle w:val="9"/>
                          </w:pPr>
                        </w:p>
                      </w:txbxContent>
                    </wps:txbx>
                    <wps:bodyPr wrap="square" lIns="0" tIns="0" rIns="0" bIns="0">
                      <a:noAutofit/>
                    </wps:bodyPr>
                  </wps:wsp>
                </a:graphicData>
              </a:graphic>
            </wp:anchor>
          </w:drawing>
        </mc:Choice>
        <mc:Fallback>
          <w:pict>
            <v:shape id="_x0000_s1026" o:spid="_x0000_s1026" o:spt="202" type="#_x0000_t202" style="position:absolute;left:0pt;margin-left:196.1pt;margin-top:6.7pt;height:17.6pt;width:91.25pt;mso-position-horizontal-relative:margin;z-index:251659264;mso-width-relative:page;mso-height-relative:page;" filled="f" stroked="f" coordsize="21600,21600" o:gfxdata="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XZQktkAAAAJAQAADwAAAAAAAAABACAAAAAiAAAAZHJzL2Rvd25yZXYueG1sUEsBAhQA&#10;FAAAAAgAh07iQN+svSi4AQAASgMAAA4AAAAAAAAAAQAgAAAAKAEAAGRycy9lMm9Eb2MueG1sUEsF&#10;BgAAAAAGAAYAWQEAAFIFAAAAAA==&#10;">
              <v:fill on="f" focussize="0,0"/>
              <v:stroke on="f" weight="1.25pt"/>
              <v:imagedata o:title=""/>
              <o:lock v:ext="edit" aspectratio="f"/>
              <v:textbox inset="0mm,0mm,0mm,0mm">
                <w:txbxContent>
                  <w:p>
                    <w:pPr>
                      <w:pStyle w:val="9"/>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3</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2490470</wp:posOffset>
              </wp:positionH>
              <wp:positionV relativeFrom="paragraph">
                <wp:posOffset>85090</wp:posOffset>
              </wp:positionV>
              <wp:extent cx="1158875" cy="2235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58949" cy="223283"/>
                      </a:xfrm>
                      <a:prstGeom prst="rect">
                        <a:avLst/>
                      </a:prstGeom>
                      <a:noFill/>
                      <a:ln w="15875">
                        <a:noFill/>
                      </a:ln>
                    </wps:spPr>
                    <wps:txbx>
                      <w:txbxContent>
                        <w:p>
                          <w:pPr>
                            <w:pStyle w:val="9"/>
                          </w:pPr>
                        </w:p>
                      </w:txbxContent>
                    </wps:txbx>
                    <wps:bodyPr wrap="square" lIns="0" tIns="0" rIns="0" bIns="0">
                      <a:noAutofit/>
                    </wps:bodyPr>
                  </wps:wsp>
                </a:graphicData>
              </a:graphic>
            </wp:anchor>
          </w:drawing>
        </mc:Choice>
        <mc:Fallback>
          <w:pict>
            <v:shape id="_x0000_s1026" o:spid="_x0000_s1026" o:spt="202" type="#_x0000_t202" style="position:absolute;left:0pt;margin-left:196.1pt;margin-top:6.7pt;height:17.6pt;width:91.25pt;mso-position-horizontal-relative:margin;z-index:251661312;mso-width-relative:page;mso-height-relative:page;" filled="f" stroked="f" coordsize="21600,21600" o:gfxdata="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BdlCS2QAAAAkBAAAPAAAAAAAAAAEAIAAAACIAAABkcnMvZG93bnJldi54bWxQSwECFAAU&#10;AAAACACHTuJA4q1ambcBAABKAwAADgAAAAAAAAABACAAAAAoAQAAZHJzL2Uyb0RvYy54bWxQSwUG&#10;AAAAAAYABgBZAQAAUQUAAAAA&#10;">
              <v:fill on="f" focussize="0,0"/>
              <v:stroke on="f" weight="1.25pt"/>
              <v:imagedata o:title=""/>
              <o:lock v:ext="edit" aspectratio="f"/>
              <v:textbox inset="0mm,0mm,0mm,0mm">
                <w:txbxContent>
                  <w:p>
                    <w:pPr>
                      <w:pStyle w:val="9"/>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B4AE4"/>
    <w:multiLevelType w:val="singleLevel"/>
    <w:tmpl w:val="173B4AE4"/>
    <w:lvl w:ilvl="0" w:tentative="0">
      <w:start w:val="1"/>
      <w:numFmt w:val="decimal"/>
      <w:suff w:val="nothing"/>
      <w:lvlText w:val="%1、"/>
      <w:lvlJc w:val="left"/>
    </w:lvl>
  </w:abstractNum>
  <w:abstractNum w:abstractNumId="1">
    <w:nsid w:val="61E8CDD4"/>
    <w:multiLevelType w:val="singleLevel"/>
    <w:tmpl w:val="61E8CDD4"/>
    <w:lvl w:ilvl="0" w:tentative="0">
      <w:start w:val="3"/>
      <w:numFmt w:val="chineseCounting"/>
      <w:suff w:val="nothing"/>
      <w:lvlText w:val="%1、"/>
      <w:lvlJc w:val="left"/>
    </w:lvl>
  </w:abstractNum>
  <w:abstractNum w:abstractNumId="2">
    <w:nsid w:val="674F9A87"/>
    <w:multiLevelType w:val="singleLevel"/>
    <w:tmpl w:val="674F9A87"/>
    <w:lvl w:ilvl="0" w:tentative="0">
      <w:start w:val="1"/>
      <w:numFmt w:val="decimal"/>
      <w:suff w:val="nothing"/>
      <w:lvlText w:val="（%1）"/>
      <w:lvlJc w:val="left"/>
    </w:lvl>
  </w:abstractNum>
  <w:abstractNum w:abstractNumId="3">
    <w:nsid w:val="674F9B55"/>
    <w:multiLevelType w:val="singleLevel"/>
    <w:tmpl w:val="674F9B55"/>
    <w:lvl w:ilvl="0" w:tentative="0">
      <w:start w:val="1"/>
      <w:numFmt w:val="decimal"/>
      <w:suff w:val="nothing"/>
      <w:lvlText w:val="（%1）"/>
      <w:lvlJc w:val="left"/>
    </w:lvl>
  </w:abstractNum>
  <w:abstractNum w:abstractNumId="4">
    <w:nsid w:val="6780E553"/>
    <w:multiLevelType w:val="singleLevel"/>
    <w:tmpl w:val="6780E553"/>
    <w:lvl w:ilvl="0" w:tentative="0">
      <w:start w:val="1"/>
      <w:numFmt w:val="decimal"/>
      <w:suff w:val="nothing"/>
      <w:lvlText w:val="（%1）"/>
      <w:lvlJc w:val="left"/>
    </w:lvl>
  </w:abstractNum>
  <w:abstractNum w:abstractNumId="5">
    <w:nsid w:val="6780EC02"/>
    <w:multiLevelType w:val="singleLevel"/>
    <w:tmpl w:val="6780EC02"/>
    <w:lvl w:ilvl="0" w:tentative="0">
      <w:start w:val="1"/>
      <w:numFmt w:val="decimal"/>
      <w:suff w:val="nothing"/>
      <w:lvlText w:val="（%1）"/>
      <w:lvlJc w:val="left"/>
    </w:lvl>
  </w:abstractNum>
  <w:abstractNum w:abstractNumId="6">
    <w:nsid w:val="6827F826"/>
    <w:multiLevelType w:val="singleLevel"/>
    <w:tmpl w:val="6827F826"/>
    <w:lvl w:ilvl="0" w:tentative="0">
      <w:start w:val="5"/>
      <w:numFmt w:val="decimal"/>
      <w:suff w:val="nothing"/>
      <w:lvlText w:val="%1、"/>
      <w:lvlJc w:val="left"/>
    </w:lvl>
  </w:abstractNum>
  <w:num w:numId="1">
    <w:abstractNumId w:val="6"/>
  </w:num>
  <w:num w:numId="2">
    <w:abstractNumId w:val="1"/>
  </w:num>
  <w:num w:numId="3">
    <w:abstractNumId w:val="0"/>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4ZmI0ZmJhOTVkOWFhZWU3YjNlMGQyM2RjZjg5ZmMifQ=="/>
  </w:docVars>
  <w:rsids>
    <w:rsidRoot w:val="0067148D"/>
    <w:rsid w:val="00001B0D"/>
    <w:rsid w:val="00027B62"/>
    <w:rsid w:val="000755C1"/>
    <w:rsid w:val="00095D4F"/>
    <w:rsid w:val="000C0D46"/>
    <w:rsid w:val="000C7CA0"/>
    <w:rsid w:val="000E09E1"/>
    <w:rsid w:val="000E14BD"/>
    <w:rsid w:val="000E235A"/>
    <w:rsid w:val="000F3A18"/>
    <w:rsid w:val="00103082"/>
    <w:rsid w:val="001617A4"/>
    <w:rsid w:val="00180948"/>
    <w:rsid w:val="00182FD2"/>
    <w:rsid w:val="001868AF"/>
    <w:rsid w:val="001D5095"/>
    <w:rsid w:val="001F75EA"/>
    <w:rsid w:val="00212CCC"/>
    <w:rsid w:val="00236FCF"/>
    <w:rsid w:val="002400D0"/>
    <w:rsid w:val="00244BBF"/>
    <w:rsid w:val="00261DC7"/>
    <w:rsid w:val="00261E95"/>
    <w:rsid w:val="0026722A"/>
    <w:rsid w:val="00291BC3"/>
    <w:rsid w:val="00292562"/>
    <w:rsid w:val="002C4810"/>
    <w:rsid w:val="002F5AAB"/>
    <w:rsid w:val="00315AFC"/>
    <w:rsid w:val="00316642"/>
    <w:rsid w:val="00327335"/>
    <w:rsid w:val="0034531F"/>
    <w:rsid w:val="00363FF8"/>
    <w:rsid w:val="00397993"/>
    <w:rsid w:val="003A340A"/>
    <w:rsid w:val="003A7FCF"/>
    <w:rsid w:val="003B5F7E"/>
    <w:rsid w:val="003E3499"/>
    <w:rsid w:val="003F7C9F"/>
    <w:rsid w:val="00414044"/>
    <w:rsid w:val="00414DE0"/>
    <w:rsid w:val="0042234D"/>
    <w:rsid w:val="004615FB"/>
    <w:rsid w:val="00477FA4"/>
    <w:rsid w:val="00487CB3"/>
    <w:rsid w:val="00491104"/>
    <w:rsid w:val="004911E2"/>
    <w:rsid w:val="00496E2C"/>
    <w:rsid w:val="004A69A9"/>
    <w:rsid w:val="0051083F"/>
    <w:rsid w:val="00514B6F"/>
    <w:rsid w:val="0052180B"/>
    <w:rsid w:val="005240B0"/>
    <w:rsid w:val="00526E0D"/>
    <w:rsid w:val="00532E3E"/>
    <w:rsid w:val="00560D58"/>
    <w:rsid w:val="005722E9"/>
    <w:rsid w:val="005836A9"/>
    <w:rsid w:val="00584C4E"/>
    <w:rsid w:val="005A3BAE"/>
    <w:rsid w:val="005C7C60"/>
    <w:rsid w:val="005E4890"/>
    <w:rsid w:val="005E780E"/>
    <w:rsid w:val="00610C4F"/>
    <w:rsid w:val="00621AD6"/>
    <w:rsid w:val="006259E6"/>
    <w:rsid w:val="00625DC8"/>
    <w:rsid w:val="0064446B"/>
    <w:rsid w:val="0064468A"/>
    <w:rsid w:val="0065195E"/>
    <w:rsid w:val="006540F3"/>
    <w:rsid w:val="006614F8"/>
    <w:rsid w:val="0067148D"/>
    <w:rsid w:val="00683873"/>
    <w:rsid w:val="006970D1"/>
    <w:rsid w:val="006A6388"/>
    <w:rsid w:val="006A7DD5"/>
    <w:rsid w:val="006D5881"/>
    <w:rsid w:val="006F3BC0"/>
    <w:rsid w:val="0070752A"/>
    <w:rsid w:val="00713F87"/>
    <w:rsid w:val="0071599D"/>
    <w:rsid w:val="0071704C"/>
    <w:rsid w:val="00726418"/>
    <w:rsid w:val="007269BD"/>
    <w:rsid w:val="0073795F"/>
    <w:rsid w:val="00750E06"/>
    <w:rsid w:val="00751D0B"/>
    <w:rsid w:val="00756FE2"/>
    <w:rsid w:val="00773842"/>
    <w:rsid w:val="0078620D"/>
    <w:rsid w:val="0079021C"/>
    <w:rsid w:val="00791951"/>
    <w:rsid w:val="007A3BA7"/>
    <w:rsid w:val="007B2310"/>
    <w:rsid w:val="007C1B82"/>
    <w:rsid w:val="007D2168"/>
    <w:rsid w:val="007E295F"/>
    <w:rsid w:val="007E33D6"/>
    <w:rsid w:val="008072F2"/>
    <w:rsid w:val="00807403"/>
    <w:rsid w:val="008172D3"/>
    <w:rsid w:val="00825C07"/>
    <w:rsid w:val="00845038"/>
    <w:rsid w:val="00847DC6"/>
    <w:rsid w:val="008541CA"/>
    <w:rsid w:val="00855CBD"/>
    <w:rsid w:val="00860BA8"/>
    <w:rsid w:val="00885C4F"/>
    <w:rsid w:val="008919AD"/>
    <w:rsid w:val="008A6BE8"/>
    <w:rsid w:val="008B0167"/>
    <w:rsid w:val="008B1B14"/>
    <w:rsid w:val="008C0C06"/>
    <w:rsid w:val="008D4F6C"/>
    <w:rsid w:val="008D55A5"/>
    <w:rsid w:val="008E1415"/>
    <w:rsid w:val="0090186C"/>
    <w:rsid w:val="0091217A"/>
    <w:rsid w:val="0093407C"/>
    <w:rsid w:val="009403C7"/>
    <w:rsid w:val="00942851"/>
    <w:rsid w:val="00943914"/>
    <w:rsid w:val="0094398C"/>
    <w:rsid w:val="00945C8C"/>
    <w:rsid w:val="0099403B"/>
    <w:rsid w:val="009B0E24"/>
    <w:rsid w:val="009B1BC9"/>
    <w:rsid w:val="009B34F5"/>
    <w:rsid w:val="009E141B"/>
    <w:rsid w:val="009F2FD6"/>
    <w:rsid w:val="009F30D5"/>
    <w:rsid w:val="009F58F7"/>
    <w:rsid w:val="00A05715"/>
    <w:rsid w:val="00A203C5"/>
    <w:rsid w:val="00A220F9"/>
    <w:rsid w:val="00A53F3D"/>
    <w:rsid w:val="00A76483"/>
    <w:rsid w:val="00A768FE"/>
    <w:rsid w:val="00A87EEE"/>
    <w:rsid w:val="00A917B1"/>
    <w:rsid w:val="00AA01EC"/>
    <w:rsid w:val="00AA3293"/>
    <w:rsid w:val="00AB58A3"/>
    <w:rsid w:val="00AD21B8"/>
    <w:rsid w:val="00AD6E26"/>
    <w:rsid w:val="00AF1181"/>
    <w:rsid w:val="00B130C5"/>
    <w:rsid w:val="00B557B2"/>
    <w:rsid w:val="00B66E11"/>
    <w:rsid w:val="00B8202F"/>
    <w:rsid w:val="00BD3DE6"/>
    <w:rsid w:val="00BF0A4A"/>
    <w:rsid w:val="00C00FD0"/>
    <w:rsid w:val="00C0451D"/>
    <w:rsid w:val="00C0651D"/>
    <w:rsid w:val="00C46B28"/>
    <w:rsid w:val="00C51B16"/>
    <w:rsid w:val="00C92F32"/>
    <w:rsid w:val="00CC09C5"/>
    <w:rsid w:val="00CD39AE"/>
    <w:rsid w:val="00CF35CF"/>
    <w:rsid w:val="00D07381"/>
    <w:rsid w:val="00D203D3"/>
    <w:rsid w:val="00D34446"/>
    <w:rsid w:val="00D41686"/>
    <w:rsid w:val="00D41A3B"/>
    <w:rsid w:val="00D41E34"/>
    <w:rsid w:val="00D42BF3"/>
    <w:rsid w:val="00D57028"/>
    <w:rsid w:val="00D760A5"/>
    <w:rsid w:val="00D975FD"/>
    <w:rsid w:val="00DA390E"/>
    <w:rsid w:val="00DA4652"/>
    <w:rsid w:val="00DB5110"/>
    <w:rsid w:val="00DD0019"/>
    <w:rsid w:val="00DD5C70"/>
    <w:rsid w:val="00E023AC"/>
    <w:rsid w:val="00E269BD"/>
    <w:rsid w:val="00E47E62"/>
    <w:rsid w:val="00E72AD4"/>
    <w:rsid w:val="00E77C35"/>
    <w:rsid w:val="00E92E74"/>
    <w:rsid w:val="00E95B74"/>
    <w:rsid w:val="00EA2B9E"/>
    <w:rsid w:val="00EB6F5B"/>
    <w:rsid w:val="00EC07A5"/>
    <w:rsid w:val="00ED1143"/>
    <w:rsid w:val="00EF5856"/>
    <w:rsid w:val="00F02829"/>
    <w:rsid w:val="00F061F2"/>
    <w:rsid w:val="00F064D3"/>
    <w:rsid w:val="00F24DEE"/>
    <w:rsid w:val="00F41191"/>
    <w:rsid w:val="00F637B4"/>
    <w:rsid w:val="00F762CF"/>
    <w:rsid w:val="00F77009"/>
    <w:rsid w:val="00FA5531"/>
    <w:rsid w:val="00FB66C6"/>
    <w:rsid w:val="00FD71A0"/>
    <w:rsid w:val="00FE2ADB"/>
    <w:rsid w:val="014A114C"/>
    <w:rsid w:val="02597972"/>
    <w:rsid w:val="0379256B"/>
    <w:rsid w:val="03F304C5"/>
    <w:rsid w:val="04AF43FC"/>
    <w:rsid w:val="06505586"/>
    <w:rsid w:val="06A53F8A"/>
    <w:rsid w:val="076B38E9"/>
    <w:rsid w:val="079E29D4"/>
    <w:rsid w:val="07FB1FF6"/>
    <w:rsid w:val="08D63113"/>
    <w:rsid w:val="093D656A"/>
    <w:rsid w:val="098C680C"/>
    <w:rsid w:val="0A8D3611"/>
    <w:rsid w:val="0C414374"/>
    <w:rsid w:val="0D3A649E"/>
    <w:rsid w:val="0DD10671"/>
    <w:rsid w:val="0E4703CE"/>
    <w:rsid w:val="1006112F"/>
    <w:rsid w:val="10335A68"/>
    <w:rsid w:val="11EB52DD"/>
    <w:rsid w:val="12AB20C5"/>
    <w:rsid w:val="13852333"/>
    <w:rsid w:val="14777AAF"/>
    <w:rsid w:val="14E70E6D"/>
    <w:rsid w:val="14FC1744"/>
    <w:rsid w:val="15443AE3"/>
    <w:rsid w:val="162856B8"/>
    <w:rsid w:val="179C25FB"/>
    <w:rsid w:val="1B4C7940"/>
    <w:rsid w:val="1CB807C7"/>
    <w:rsid w:val="1D0C2C9D"/>
    <w:rsid w:val="1FFA4DD3"/>
    <w:rsid w:val="212020A6"/>
    <w:rsid w:val="21DD6696"/>
    <w:rsid w:val="238863DF"/>
    <w:rsid w:val="24422E72"/>
    <w:rsid w:val="24841DF2"/>
    <w:rsid w:val="27AC662E"/>
    <w:rsid w:val="286328D5"/>
    <w:rsid w:val="294E2DAA"/>
    <w:rsid w:val="29C00A38"/>
    <w:rsid w:val="2C055C53"/>
    <w:rsid w:val="2D6C7DE2"/>
    <w:rsid w:val="300D2014"/>
    <w:rsid w:val="31740AA9"/>
    <w:rsid w:val="31944178"/>
    <w:rsid w:val="31DC4F69"/>
    <w:rsid w:val="32A20B12"/>
    <w:rsid w:val="32E03AC7"/>
    <w:rsid w:val="331D7435"/>
    <w:rsid w:val="33E46492"/>
    <w:rsid w:val="36D9763D"/>
    <w:rsid w:val="37653641"/>
    <w:rsid w:val="3861466D"/>
    <w:rsid w:val="38A00D3C"/>
    <w:rsid w:val="38AB1AA8"/>
    <w:rsid w:val="397965F2"/>
    <w:rsid w:val="3B69697D"/>
    <w:rsid w:val="3B8828CE"/>
    <w:rsid w:val="3B8C3232"/>
    <w:rsid w:val="3CFB5C8E"/>
    <w:rsid w:val="3E1754B1"/>
    <w:rsid w:val="3ED7128A"/>
    <w:rsid w:val="3F0605A8"/>
    <w:rsid w:val="3FD57BC1"/>
    <w:rsid w:val="423B31A7"/>
    <w:rsid w:val="452E01BF"/>
    <w:rsid w:val="45AF683B"/>
    <w:rsid w:val="485F3790"/>
    <w:rsid w:val="4B9F27D5"/>
    <w:rsid w:val="4BCE6F6E"/>
    <w:rsid w:val="4CDD1BD1"/>
    <w:rsid w:val="4D355F10"/>
    <w:rsid w:val="4E4716AB"/>
    <w:rsid w:val="4E750F0E"/>
    <w:rsid w:val="4EA76FDF"/>
    <w:rsid w:val="4F9378CC"/>
    <w:rsid w:val="502F7C07"/>
    <w:rsid w:val="52CD71BA"/>
    <w:rsid w:val="52CF37F2"/>
    <w:rsid w:val="546B2F75"/>
    <w:rsid w:val="549B50A8"/>
    <w:rsid w:val="54DF1676"/>
    <w:rsid w:val="572F7F65"/>
    <w:rsid w:val="580844E6"/>
    <w:rsid w:val="58E0559B"/>
    <w:rsid w:val="59AC4BCE"/>
    <w:rsid w:val="5BE26FDC"/>
    <w:rsid w:val="5C3E0E6B"/>
    <w:rsid w:val="5DE414D1"/>
    <w:rsid w:val="5E2960DB"/>
    <w:rsid w:val="5F500775"/>
    <w:rsid w:val="5F550382"/>
    <w:rsid w:val="5FAF1E81"/>
    <w:rsid w:val="60405422"/>
    <w:rsid w:val="6242287F"/>
    <w:rsid w:val="62E12D5D"/>
    <w:rsid w:val="636B3E1B"/>
    <w:rsid w:val="63AF180D"/>
    <w:rsid w:val="63B10BA7"/>
    <w:rsid w:val="65E30B25"/>
    <w:rsid w:val="68930495"/>
    <w:rsid w:val="68B656AD"/>
    <w:rsid w:val="69973A66"/>
    <w:rsid w:val="6C112069"/>
    <w:rsid w:val="6CBB5629"/>
    <w:rsid w:val="6E39695A"/>
    <w:rsid w:val="6E864ABA"/>
    <w:rsid w:val="6EF7695E"/>
    <w:rsid w:val="6F2800CC"/>
    <w:rsid w:val="70D25F91"/>
    <w:rsid w:val="70F75391"/>
    <w:rsid w:val="75A772F6"/>
    <w:rsid w:val="76742FEB"/>
    <w:rsid w:val="7786006B"/>
    <w:rsid w:val="786E6E77"/>
    <w:rsid w:val="787D7911"/>
    <w:rsid w:val="78D264A3"/>
    <w:rsid w:val="794834ED"/>
    <w:rsid w:val="79F366DA"/>
    <w:rsid w:val="7AB76593"/>
    <w:rsid w:val="7CAB4594"/>
    <w:rsid w:val="7E97693D"/>
    <w:rsid w:val="7EE72F8D"/>
    <w:rsid w:val="7F622843"/>
    <w:rsid w:val="7FC6220C"/>
    <w:rsid w:val="7FC6738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3" w:lineRule="auto"/>
      <w:outlineLvl w:val="1"/>
    </w:pPr>
    <w:rPr>
      <w:rFonts w:ascii="Arial" w:hAnsi="Arial" w:eastAsia="黑体"/>
      <w:b/>
      <w:sz w:val="32"/>
      <w:szCs w:val="20"/>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pPr>
      <w:autoSpaceDE w:val="0"/>
      <w:autoSpaceDN w:val="0"/>
      <w:adjustRightInd w:val="0"/>
      <w:ind w:left="1950"/>
      <w:jc w:val="left"/>
    </w:pPr>
    <w:rPr>
      <w:rFonts w:ascii="宋体"/>
      <w:b/>
      <w:bCs/>
      <w:kern w:val="0"/>
      <w:sz w:val="40"/>
      <w:szCs w:val="40"/>
    </w:rPr>
  </w:style>
  <w:style w:type="paragraph" w:styleId="5">
    <w:name w:val="Body Text Indent"/>
    <w:basedOn w:val="1"/>
    <w:qFormat/>
    <w:uiPriority w:val="0"/>
    <w:pPr>
      <w:ind w:firstLine="560" w:firstLineChars="200"/>
    </w:pPr>
    <w:rPr>
      <w:sz w:val="28"/>
    </w:rPr>
  </w:style>
  <w:style w:type="paragraph" w:styleId="6">
    <w:name w:val="Plain Text"/>
    <w:basedOn w:val="1"/>
    <w:qFormat/>
    <w:uiPriority w:val="0"/>
    <w:rPr>
      <w:rFonts w:ascii="宋体" w:hAnsi="Plotter"/>
      <w:szCs w:val="20"/>
    </w:rPr>
  </w:style>
  <w:style w:type="paragraph" w:styleId="7">
    <w:name w:val="Body Text Indent 2"/>
    <w:basedOn w:val="1"/>
    <w:qFormat/>
    <w:uiPriority w:val="0"/>
    <w:pPr>
      <w:spacing w:line="440" w:lineRule="exact"/>
      <w:ind w:left="719" w:leftChars="86" w:hanging="538" w:hangingChars="192"/>
    </w:pPr>
    <w:rPr>
      <w:rFonts w:ascii="宋体" w:hAnsi="宋体"/>
      <w:sz w:val="28"/>
    </w:r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2">
    <w:name w:val="Normal (Web)"/>
    <w:basedOn w:val="1"/>
    <w:qFormat/>
    <w:uiPriority w:val="0"/>
    <w:pPr>
      <w:spacing w:beforeAutospacing="1" w:afterAutospacing="1"/>
      <w:jc w:val="left"/>
    </w:pPr>
    <w:rPr>
      <w:kern w:val="0"/>
      <w:sz w:val="24"/>
    </w:rPr>
  </w:style>
  <w:style w:type="paragraph" w:styleId="13">
    <w:name w:val="index 1"/>
    <w:basedOn w:val="1"/>
    <w:next w:val="1"/>
    <w:semiHidden/>
    <w:qFormat/>
    <w:uiPriority w:val="0"/>
  </w:style>
  <w:style w:type="character" w:styleId="15">
    <w:name w:val="page number"/>
    <w:qFormat/>
    <w:uiPriority w:val="0"/>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p0"/>
    <w:basedOn w:val="1"/>
    <w:qFormat/>
    <w:uiPriority w:val="0"/>
    <w:pPr>
      <w:widowControl/>
    </w:pPr>
    <w:rPr>
      <w:kern w:val="0"/>
      <w:szCs w:val="21"/>
    </w:rPr>
  </w:style>
  <w:style w:type="character" w:customStyle="1" w:styleId="19">
    <w:name w:val="font01"/>
    <w:basedOn w:val="14"/>
    <w:qFormat/>
    <w:uiPriority w:val="0"/>
    <w:rPr>
      <w:rFonts w:ascii="font-weight : 400" w:hAnsi="font-weight : 400" w:eastAsia="font-weight : 400" w:cs="font-weight : 400"/>
      <w:color w:val="000000"/>
      <w:sz w:val="22"/>
      <w:szCs w:val="22"/>
      <w:u w:val="none"/>
    </w:rPr>
  </w:style>
  <w:style w:type="character" w:customStyle="1" w:styleId="20">
    <w:name w:val="font21"/>
    <w:basedOn w:val="14"/>
    <w:qFormat/>
    <w:uiPriority w:val="0"/>
    <w:rPr>
      <w:rFonts w:hint="eastAsia" w:ascii="宋体" w:hAnsi="宋体" w:eastAsia="宋体" w:cs="宋体"/>
      <w:color w:val="000000"/>
      <w:sz w:val="24"/>
      <w:szCs w:val="24"/>
      <w:u w:val="none"/>
    </w:rPr>
  </w:style>
  <w:style w:type="character" w:customStyle="1" w:styleId="21">
    <w:name w:val="font11"/>
    <w:basedOn w:val="14"/>
    <w:qFormat/>
    <w:uiPriority w:val="0"/>
    <w:rPr>
      <w:rFonts w:hint="default" w:ascii="等线" w:hAnsi="等线" w:eastAsia="等线" w:cs="等线"/>
      <w:color w:val="000000"/>
      <w:sz w:val="22"/>
      <w:szCs w:val="22"/>
      <w:u w:val="none"/>
    </w:rPr>
  </w:style>
  <w:style w:type="character" w:customStyle="1" w:styleId="22">
    <w:name w:val="批注框文本 字符"/>
    <w:basedOn w:val="14"/>
    <w:link w:val="8"/>
    <w:qFormat/>
    <w:uiPriority w:val="0"/>
    <w:rPr>
      <w:rFonts w:ascii="Times New Roman" w:hAnsi="Times New Roman" w:eastAsia="宋体" w:cs="Times New Roman"/>
      <w:kern w:val="2"/>
      <w:sz w:val="18"/>
      <w:szCs w:val="18"/>
    </w:rPr>
  </w:style>
  <w:style w:type="character" w:customStyle="1" w:styleId="23">
    <w:name w:val="页眉 字符"/>
    <w:basedOn w:val="14"/>
    <w:link w:val="10"/>
    <w:qFormat/>
    <w:uiPriority w:val="0"/>
    <w:rPr>
      <w:rFonts w:ascii="Times New Roman" w:hAnsi="Times New Roman" w:eastAsia="宋体" w:cs="Times New Roman"/>
      <w:kern w:val="2"/>
      <w:sz w:val="18"/>
      <w:szCs w:val="18"/>
    </w:rPr>
  </w:style>
  <w:style w:type="paragraph" w:customStyle="1" w:styleId="24">
    <w:name w:val="正文文本1"/>
    <w:basedOn w:val="1"/>
    <w:qFormat/>
    <w:uiPriority w:val="0"/>
    <w:pPr>
      <w:spacing w:line="442" w:lineRule="auto"/>
      <w:ind w:firstLine="400" w:firstLineChars="200"/>
    </w:pPr>
    <w:rPr>
      <w:rFonts w:ascii="宋体" w:hAnsi="宋体" w:cs="宋体"/>
      <w:sz w:val="36"/>
      <w:szCs w:val="36"/>
    </w:rPr>
  </w:style>
  <w:style w:type="paragraph" w:customStyle="1" w:styleId="25">
    <w:name w:val="List Paragraph"/>
    <w:basedOn w:val="1"/>
    <w:qFormat/>
    <w:uiPriority w:val="99"/>
    <w:pPr>
      <w:ind w:firstLine="420" w:firstLineChars="200"/>
    </w:pPr>
  </w:style>
  <w:style w:type="character" w:customStyle="1" w:styleId="26">
    <w:name w:val="标题 2 字符"/>
    <w:basedOn w:val="14"/>
    <w:link w:val="3"/>
    <w:qFormat/>
    <w:uiPriority w:val="0"/>
    <w:rPr>
      <w:rFonts w:ascii="Arial" w:hAnsi="Arial" w:eastAsia="黑体" w:cs="Times New Roman"/>
      <w:b/>
      <w:kern w:val="2"/>
      <w:sz w:val="32"/>
    </w:rPr>
  </w:style>
  <w:style w:type="character" w:customStyle="1" w:styleId="27">
    <w:name w:val="标题 1 字符"/>
    <w:basedOn w:val="14"/>
    <w:link w:val="2"/>
    <w:qFormat/>
    <w:uiPriority w:val="0"/>
    <w:rPr>
      <w:rFonts w:ascii="Times New Roman" w:hAnsi="Times New Roman" w:eastAsia="宋体" w:cs="Times New Roman"/>
      <w:b/>
      <w:bCs/>
      <w:kern w:val="44"/>
      <w:sz w:val="44"/>
      <w:szCs w:val="44"/>
    </w:rPr>
  </w:style>
  <w:style w:type="paragraph" w:customStyle="1" w:styleId="28">
    <w:name w:val="正文（WSJ）"/>
    <w:basedOn w:val="1"/>
    <w:link w:val="29"/>
    <w:qFormat/>
    <w:uiPriority w:val="0"/>
    <w:pPr>
      <w:spacing w:line="440" w:lineRule="exact"/>
      <w:jc w:val="left"/>
    </w:pPr>
    <w:rPr>
      <w:rFonts w:eastAsia="方正仿宋_GBK"/>
      <w:sz w:val="28"/>
      <w:szCs w:val="20"/>
    </w:rPr>
  </w:style>
  <w:style w:type="character" w:customStyle="1" w:styleId="29">
    <w:name w:val="正文（WSJ） 字符"/>
    <w:link w:val="28"/>
    <w:qFormat/>
    <w:uiPriority w:val="0"/>
    <w:rPr>
      <w:rFonts w:ascii="Times New Roman" w:hAnsi="Times New Roman" w:eastAsia="方正仿宋_GBK" w:cs="Times New Roman"/>
      <w:kern w:val="2"/>
      <w:sz w:val="28"/>
    </w:rPr>
  </w:style>
  <w:style w:type="paragraph" w:customStyle="1" w:styleId="30">
    <w:name w:val="_Style 2"/>
    <w:basedOn w:val="1"/>
    <w:qFormat/>
    <w:uiPriority w:val="34"/>
    <w:pPr>
      <w:ind w:firstLine="420" w:firstLineChars="200"/>
    </w:pPr>
  </w:style>
  <w:style w:type="character" w:customStyle="1" w:styleId="31">
    <w:name w:val="15"/>
    <w:basedOn w:val="14"/>
    <w:qFormat/>
    <w:uiPriority w:val="0"/>
    <w:rPr>
      <w:rFonts w:hint="default" w:ascii="Times New Roman" w:hAnsi="Times New Roman" w:cs="Times New Roman"/>
    </w:rPr>
  </w:style>
  <w:style w:type="character" w:customStyle="1" w:styleId="32">
    <w:name w:val="10"/>
    <w:basedOn w:val="14"/>
    <w:qFormat/>
    <w:uiPriority w:val="0"/>
    <w:rPr>
      <w:rFonts w:hint="default" w:ascii="Times New Roman" w:hAnsi="Times New Roman" w:cs="Times New Roman"/>
    </w:rPr>
  </w:style>
  <w:style w:type="paragraph" w:customStyle="1" w:styleId="33">
    <w:name w:val="Table Paragraph"/>
    <w:basedOn w:val="1"/>
    <w:qFormat/>
    <w:uiPriority w:val="1"/>
    <w:pPr>
      <w:autoSpaceDE w:val="0"/>
      <w:autoSpaceDN w:val="0"/>
      <w:adjustRightInd w:val="0"/>
      <w:jc w:val="left"/>
    </w:pPr>
    <w:rPr>
      <w:rFonts w:eastAsia="宋体"/>
      <w:kern w:val="0"/>
      <w:sz w:val="24"/>
    </w:rPr>
  </w:style>
  <w:style w:type="character" w:customStyle="1" w:styleId="34">
    <w:name w:val="纯文本 Char1"/>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4082</Words>
  <Characters>23268</Characters>
  <Lines>193</Lines>
  <Paragraphs>54</Paragraphs>
  <ScaleCrop>false</ScaleCrop>
  <LinksUpToDate>false</LinksUpToDate>
  <CharactersWithSpaces>27296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2024-12-06T00:48:00Z</dcterms:created>
  <dc:creator>Administrator</dc:creator>
  <cp:lastModifiedBy>Administrator</cp:lastModifiedBy>
  <cp:lastPrinted>2025-02-27T01:49:00Z</cp:lastPrinted>
  <dcterms:modified xsi:type="dcterms:W3CDTF">2025-05-20T23:50:13Z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1FC669BE90984CB4B0EFEA3301143D5E</vt:lpwstr>
  </property>
</Properties>
</file>