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94233">
      <w:pPr>
        <w:jc w:val="center"/>
        <w:rPr>
          <w:rFonts w:hint="eastAsia" w:ascii="黑体" w:hAnsi="黑体" w:eastAsia="黑体"/>
          <w:sz w:val="72"/>
          <w:szCs w:val="72"/>
        </w:rPr>
      </w:pPr>
      <w:bookmarkStart w:id="0" w:name="_Hlk199161168"/>
    </w:p>
    <w:bookmarkEnd w:id="0"/>
    <w:p w14:paraId="70953033">
      <w:pPr>
        <w:jc w:val="center"/>
        <w:rPr>
          <w:rFonts w:hint="eastAsia" w:ascii="黑体" w:hAnsi="黑体" w:eastAsia="黑体"/>
          <w:sz w:val="72"/>
          <w:szCs w:val="72"/>
        </w:rPr>
      </w:pPr>
      <w:r>
        <w:rPr>
          <w:rFonts w:hint="eastAsia" w:ascii="黑体" w:hAnsi="黑体" w:eastAsia="黑体"/>
          <w:sz w:val="72"/>
          <w:szCs w:val="72"/>
        </w:rPr>
        <w:t>1</w:t>
      </w:r>
      <w:r>
        <w:rPr>
          <w:rFonts w:ascii="黑体" w:hAnsi="黑体" w:eastAsia="黑体"/>
          <w:sz w:val="72"/>
          <w:szCs w:val="72"/>
        </w:rPr>
        <w:t>50</w:t>
      </w:r>
      <w:r>
        <w:rPr>
          <w:rFonts w:hint="eastAsia" w:ascii="黑体" w:hAnsi="黑体" w:eastAsia="黑体"/>
          <w:sz w:val="72"/>
          <w:szCs w:val="72"/>
        </w:rPr>
        <w:t>米三峡游轮地胶</w:t>
      </w:r>
    </w:p>
    <w:p w14:paraId="2A66ACAD">
      <w:pPr>
        <w:spacing w:line="1200" w:lineRule="atLeast"/>
        <w:jc w:val="center"/>
        <w:rPr>
          <w:rFonts w:hint="eastAsia" w:ascii="黑体" w:hAnsi="黑体" w:eastAsia="黑体"/>
          <w:sz w:val="72"/>
          <w:szCs w:val="72"/>
        </w:rPr>
      </w:pPr>
      <w:r>
        <w:rPr>
          <w:rFonts w:hint="eastAsia" w:ascii="黑体" w:hAnsi="黑体" w:eastAsia="黑体"/>
          <w:sz w:val="72"/>
          <w:szCs w:val="72"/>
        </w:rPr>
        <w:t>技</w:t>
      </w:r>
    </w:p>
    <w:p w14:paraId="2906128F">
      <w:pPr>
        <w:spacing w:line="1200" w:lineRule="atLeast"/>
        <w:jc w:val="center"/>
        <w:rPr>
          <w:rFonts w:hint="eastAsia" w:ascii="黑体" w:hAnsi="黑体" w:eastAsia="黑体"/>
          <w:sz w:val="72"/>
          <w:szCs w:val="72"/>
        </w:rPr>
      </w:pPr>
      <w:r>
        <w:rPr>
          <w:rFonts w:hint="eastAsia" w:ascii="黑体" w:hAnsi="黑体" w:eastAsia="黑体"/>
          <w:sz w:val="72"/>
          <w:szCs w:val="72"/>
        </w:rPr>
        <w:t>术</w:t>
      </w:r>
    </w:p>
    <w:p w14:paraId="38837D14">
      <w:pPr>
        <w:spacing w:line="1200" w:lineRule="atLeast"/>
        <w:jc w:val="center"/>
        <w:rPr>
          <w:rFonts w:hint="eastAsia" w:ascii="黑体" w:hAnsi="黑体" w:eastAsia="黑体"/>
          <w:sz w:val="72"/>
          <w:szCs w:val="72"/>
        </w:rPr>
      </w:pPr>
      <w:r>
        <w:rPr>
          <w:rFonts w:hint="eastAsia" w:ascii="黑体" w:hAnsi="黑体" w:eastAsia="黑体"/>
          <w:sz w:val="72"/>
          <w:szCs w:val="72"/>
        </w:rPr>
        <w:t>协</w:t>
      </w:r>
    </w:p>
    <w:p w14:paraId="136616F3">
      <w:pPr>
        <w:spacing w:line="1200" w:lineRule="atLeast"/>
        <w:jc w:val="center"/>
        <w:rPr>
          <w:rFonts w:hint="eastAsia" w:ascii="黑体" w:hAnsi="黑体" w:eastAsia="黑体"/>
          <w:sz w:val="56"/>
          <w:szCs w:val="56"/>
        </w:rPr>
      </w:pPr>
      <w:r>
        <w:rPr>
          <w:rFonts w:hint="eastAsia" w:ascii="黑体" w:hAnsi="黑体" w:eastAsia="黑体"/>
          <w:sz w:val="72"/>
          <w:szCs w:val="72"/>
        </w:rPr>
        <w:t>议</w:t>
      </w:r>
    </w:p>
    <w:p w14:paraId="1C37EF85">
      <w:pPr>
        <w:spacing w:line="360" w:lineRule="auto"/>
        <w:rPr>
          <w:rFonts w:hint="eastAsia" w:asciiTheme="minorEastAsia" w:hAnsiTheme="minorEastAsia"/>
          <w:b/>
          <w:bCs/>
          <w:sz w:val="24"/>
        </w:rPr>
      </w:pPr>
    </w:p>
    <w:p w14:paraId="44FAC753">
      <w:pPr>
        <w:snapToGrid w:val="0"/>
        <w:spacing w:line="360" w:lineRule="auto"/>
        <w:ind w:firstLine="602" w:firstLineChars="200"/>
        <w:jc w:val="left"/>
        <w:rPr>
          <w:rFonts w:ascii="宋体"/>
          <w:b/>
          <w:sz w:val="30"/>
          <w:szCs w:val="30"/>
        </w:rPr>
      </w:pPr>
      <w:r>
        <w:rPr>
          <w:rFonts w:hint="eastAsia" w:ascii="宋体"/>
          <w:b/>
          <w:sz w:val="30"/>
          <w:szCs w:val="30"/>
        </w:rPr>
        <w:t>船    东：重庆交运游轮有限公司</w:t>
      </w:r>
    </w:p>
    <w:p w14:paraId="43CA31E6">
      <w:pPr>
        <w:snapToGrid w:val="0"/>
        <w:spacing w:line="360" w:lineRule="auto"/>
        <w:ind w:firstLine="602" w:firstLineChars="200"/>
        <w:jc w:val="left"/>
        <w:rPr>
          <w:rFonts w:ascii="宋体"/>
          <w:b/>
          <w:sz w:val="30"/>
          <w:szCs w:val="30"/>
        </w:rPr>
      </w:pPr>
      <w:r>
        <w:rPr>
          <w:rFonts w:hint="eastAsia" w:ascii="宋体"/>
          <w:b/>
          <w:sz w:val="30"/>
          <w:szCs w:val="30"/>
        </w:rPr>
        <w:t>代表签字：</w:t>
      </w:r>
    </w:p>
    <w:p w14:paraId="4D84DB38">
      <w:pPr>
        <w:snapToGrid w:val="0"/>
        <w:spacing w:line="360" w:lineRule="auto"/>
        <w:ind w:firstLine="1205" w:firstLineChars="400"/>
        <w:jc w:val="left"/>
        <w:rPr>
          <w:rFonts w:ascii="宋体"/>
          <w:b/>
          <w:sz w:val="30"/>
          <w:szCs w:val="30"/>
        </w:rPr>
      </w:pPr>
    </w:p>
    <w:p w14:paraId="2C8B9447">
      <w:pPr>
        <w:snapToGrid w:val="0"/>
        <w:spacing w:line="360" w:lineRule="auto"/>
        <w:ind w:firstLine="602" w:firstLineChars="200"/>
        <w:jc w:val="left"/>
        <w:rPr>
          <w:rFonts w:ascii="宋体"/>
          <w:b/>
          <w:sz w:val="30"/>
          <w:szCs w:val="30"/>
        </w:rPr>
      </w:pPr>
      <w:r>
        <w:rPr>
          <w:rFonts w:hint="eastAsia" w:ascii="宋体"/>
          <w:b/>
          <w:sz w:val="30"/>
          <w:szCs w:val="30"/>
        </w:rPr>
        <w:t>船厂（甲方）：重庆中江船业有限公司</w:t>
      </w:r>
    </w:p>
    <w:p w14:paraId="28BC11C5">
      <w:pPr>
        <w:snapToGrid w:val="0"/>
        <w:spacing w:line="360" w:lineRule="auto"/>
        <w:ind w:firstLine="602" w:firstLineChars="200"/>
        <w:jc w:val="left"/>
        <w:rPr>
          <w:rFonts w:ascii="宋体"/>
          <w:b/>
          <w:sz w:val="30"/>
          <w:szCs w:val="30"/>
        </w:rPr>
      </w:pPr>
      <w:r>
        <w:rPr>
          <w:rFonts w:hint="eastAsia" w:ascii="宋体"/>
          <w:b/>
          <w:sz w:val="30"/>
          <w:szCs w:val="30"/>
        </w:rPr>
        <w:t>代表签字：</w:t>
      </w:r>
    </w:p>
    <w:p w14:paraId="1557E6B2">
      <w:pPr>
        <w:snapToGrid w:val="0"/>
        <w:spacing w:line="360" w:lineRule="auto"/>
        <w:ind w:firstLine="1205" w:firstLineChars="400"/>
        <w:jc w:val="left"/>
        <w:rPr>
          <w:rFonts w:ascii="宋体"/>
          <w:b/>
          <w:sz w:val="30"/>
          <w:szCs w:val="30"/>
        </w:rPr>
      </w:pPr>
    </w:p>
    <w:p w14:paraId="3A24170F">
      <w:pPr>
        <w:snapToGrid w:val="0"/>
        <w:spacing w:line="360" w:lineRule="auto"/>
        <w:ind w:firstLine="602" w:firstLineChars="200"/>
        <w:jc w:val="left"/>
        <w:rPr>
          <w:rFonts w:ascii="宋体"/>
          <w:b/>
          <w:sz w:val="30"/>
          <w:szCs w:val="30"/>
        </w:rPr>
      </w:pPr>
      <w:r>
        <w:rPr>
          <w:rFonts w:hint="eastAsia" w:ascii="宋体"/>
          <w:b/>
          <w:sz w:val="30"/>
          <w:szCs w:val="30"/>
        </w:rPr>
        <w:t xml:space="preserve">供货商（乙方）： </w:t>
      </w:r>
    </w:p>
    <w:p w14:paraId="0607BD8F">
      <w:pPr>
        <w:snapToGrid w:val="0"/>
        <w:spacing w:line="360" w:lineRule="auto"/>
        <w:ind w:firstLine="602" w:firstLineChars="200"/>
        <w:jc w:val="left"/>
        <w:rPr>
          <w:rFonts w:ascii="宋体"/>
          <w:b/>
          <w:szCs w:val="21"/>
        </w:rPr>
      </w:pPr>
      <w:r>
        <w:rPr>
          <w:rFonts w:hint="eastAsia" w:ascii="宋体"/>
          <w:b/>
          <w:sz w:val="30"/>
          <w:szCs w:val="30"/>
        </w:rPr>
        <w:t>代表签字：</w:t>
      </w:r>
    </w:p>
    <w:p w14:paraId="0B7A724F">
      <w:pPr>
        <w:snapToGrid w:val="0"/>
        <w:spacing w:line="800" w:lineRule="exact"/>
        <w:ind w:firstLine="602" w:firstLineChars="200"/>
        <w:jc w:val="left"/>
        <w:rPr>
          <w:rFonts w:ascii="宋体"/>
          <w:b/>
          <w:sz w:val="30"/>
          <w:szCs w:val="30"/>
        </w:rPr>
      </w:pPr>
      <w:r>
        <w:rPr>
          <w:rFonts w:hint="eastAsia" w:ascii="宋体"/>
          <w:b/>
          <w:sz w:val="30"/>
          <w:szCs w:val="30"/>
        </w:rPr>
        <w:t xml:space="preserve">签订日期： </w:t>
      </w:r>
      <w:r>
        <w:rPr>
          <w:rFonts w:ascii="宋体"/>
          <w:b/>
          <w:sz w:val="30"/>
          <w:szCs w:val="30"/>
        </w:rPr>
        <w:t xml:space="preserve">       </w:t>
      </w:r>
      <w:r>
        <w:rPr>
          <w:rFonts w:hint="eastAsia" w:ascii="宋体"/>
          <w:b/>
          <w:sz w:val="30"/>
          <w:szCs w:val="30"/>
        </w:rPr>
        <w:t xml:space="preserve">年 </w:t>
      </w:r>
      <w:r>
        <w:rPr>
          <w:rFonts w:ascii="宋体"/>
          <w:b/>
          <w:sz w:val="30"/>
          <w:szCs w:val="30"/>
        </w:rPr>
        <w:t xml:space="preserve">    </w:t>
      </w:r>
      <w:r>
        <w:rPr>
          <w:rFonts w:hint="eastAsia" w:ascii="宋体"/>
          <w:b/>
          <w:sz w:val="30"/>
          <w:szCs w:val="30"/>
        </w:rPr>
        <w:t xml:space="preserve">月 </w:t>
      </w:r>
      <w:r>
        <w:rPr>
          <w:rFonts w:ascii="宋体"/>
          <w:b/>
          <w:sz w:val="30"/>
          <w:szCs w:val="30"/>
        </w:rPr>
        <w:t xml:space="preserve">   </w:t>
      </w:r>
      <w:r>
        <w:rPr>
          <w:rFonts w:hint="eastAsia" w:ascii="宋体"/>
          <w:b/>
          <w:sz w:val="30"/>
          <w:szCs w:val="30"/>
        </w:rPr>
        <w:t>日</w:t>
      </w:r>
    </w:p>
    <w:p w14:paraId="40019479">
      <w:pPr>
        <w:widowControl/>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br w:type="page"/>
      </w:r>
    </w:p>
    <w:p w14:paraId="2D53DCB3">
      <w:pPr>
        <w:keepNext w:val="0"/>
        <w:keepLines w:val="0"/>
        <w:pageBreakBefore w:val="0"/>
        <w:tabs>
          <w:tab w:val="left" w:pos="879"/>
          <w:tab w:val="left" w:pos="3362"/>
        </w:tabs>
        <w:kinsoku/>
        <w:wordWrap/>
        <w:overflowPunct/>
        <w:topLinePunct w:val="0"/>
        <w:autoSpaceDE/>
        <w:autoSpaceDN/>
        <w:bidi w:val="0"/>
        <w:adjustRightInd/>
        <w:snapToGrid/>
        <w:spacing w:line="440" w:lineRule="atLeast"/>
        <w:ind w:left="0" w:leftChars="0" w:firstLine="241" w:firstLineChars="100"/>
        <w:rPr>
          <w:rFonts w:hint="eastAsia" w:ascii="宋体" w:hAnsi="宋体" w:eastAsia="宋体" w:cs="宋体"/>
          <w:sz w:val="24"/>
          <w:szCs w:val="24"/>
          <w:lang w:eastAsia="zh-CN"/>
        </w:rPr>
      </w:pPr>
      <w:r>
        <w:rPr>
          <w:rFonts w:hint="eastAsia" w:asciiTheme="majorEastAsia" w:hAnsiTheme="majorEastAsia" w:eastAsiaTheme="majorEastAsia" w:cstheme="majorEastAsia"/>
          <w:b/>
          <w:bCs/>
          <w:sz w:val="24"/>
          <w:szCs w:val="24"/>
        </w:rPr>
        <w:t>说明</w:t>
      </w:r>
      <w:r>
        <w:rPr>
          <w:rFonts w:hint="eastAsia" w:ascii="宋体" w:hAnsi="宋体" w:eastAsia="宋体" w:cs="宋体"/>
          <w:sz w:val="24"/>
          <w:szCs w:val="24"/>
        </w:rPr>
        <w:t>：根据“1</w:t>
      </w:r>
      <w:r>
        <w:rPr>
          <w:rFonts w:ascii="宋体" w:hAnsi="宋体" w:eastAsia="宋体" w:cs="宋体"/>
          <w:sz w:val="24"/>
          <w:szCs w:val="24"/>
        </w:rPr>
        <w:t>50</w:t>
      </w:r>
      <w:r>
        <w:rPr>
          <w:rFonts w:hint="eastAsia" w:ascii="宋体" w:hAnsi="宋体" w:eastAsia="宋体" w:cs="宋体"/>
          <w:sz w:val="24"/>
          <w:szCs w:val="24"/>
        </w:rPr>
        <w:t>米三峡游轮（船名：重轮长江云帆  工程编号：ZJ20-LYC007）”的中京方正（北京）公司设计图和效果图要求，舱内SPV，展廊，过道，主角甲板船员房间，过道，部分公共区域，上甲板餐厅及公区辅助空间，游步甲板餐厅及公区辅助区域，观景甲板餐厅及公区辅助区域，阳光甲板多功能厅及公区采用PVC地板（卷材）；驾驶甲板中厅，观景甲板中厅采用PVC地板（片材）</w:t>
      </w:r>
      <w:r>
        <w:rPr>
          <w:rFonts w:hint="eastAsia" w:ascii="宋体" w:hAnsi="宋体" w:eastAsia="宋体" w:cs="宋体"/>
          <w:sz w:val="24"/>
          <w:szCs w:val="24"/>
          <w:lang w:eastAsia="zh-CN"/>
        </w:rPr>
        <w:t>。</w:t>
      </w:r>
    </w:p>
    <w:p w14:paraId="6277CD02">
      <w:pPr>
        <w:keepNext w:val="0"/>
        <w:keepLines w:val="0"/>
        <w:pageBreakBefore w:val="0"/>
        <w:tabs>
          <w:tab w:val="left" w:pos="879"/>
          <w:tab w:val="left" w:pos="3362"/>
        </w:tabs>
        <w:kinsoku/>
        <w:wordWrap/>
        <w:overflowPunct/>
        <w:topLinePunct w:val="0"/>
        <w:autoSpaceDE/>
        <w:autoSpaceDN/>
        <w:bidi w:val="0"/>
        <w:adjustRightInd/>
        <w:snapToGrid/>
        <w:spacing w:line="440" w:lineRule="atLeast"/>
        <w:ind w:left="0" w:leftChars="0" w:firstLine="241" w:firstLineChars="100"/>
        <w:rPr>
          <w:rFonts w:hint="eastAsia" w:ascii="宋体" w:hAnsi="宋体" w:eastAsia="宋体" w:cs="宋体"/>
          <w:b/>
          <w:bCs/>
          <w:sz w:val="24"/>
          <w:szCs w:val="24"/>
        </w:rPr>
      </w:pPr>
      <w:r>
        <w:rPr>
          <w:rFonts w:hint="eastAsia" w:ascii="宋体" w:hAnsi="宋体" w:eastAsia="宋体" w:cs="宋体"/>
          <w:b/>
          <w:bCs/>
          <w:sz w:val="24"/>
          <w:szCs w:val="24"/>
        </w:rPr>
        <w:t>一、规范及证书要求：</w:t>
      </w:r>
    </w:p>
    <w:p w14:paraId="01BF910A">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ascii="微软雅黑" w:hAnsi="微软雅黑" w:eastAsia="微软雅黑"/>
          <w:sz w:val="24"/>
          <w:szCs w:val="24"/>
        </w:rPr>
        <w:t xml:space="preserve">须符合国家现行标准，包括但不限于： </w:t>
      </w:r>
    </w:p>
    <w:p w14:paraId="41B24CB8">
      <w:pPr>
        <w:keepNext w:val="0"/>
        <w:keepLines w:val="0"/>
        <w:pageBreakBefore w:val="0"/>
        <w:tabs>
          <w:tab w:val="left" w:pos="312"/>
          <w:tab w:val="left" w:pos="879"/>
          <w:tab w:val="left" w:pos="1600"/>
        </w:tabs>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 耐磨等级：EN649</w:t>
      </w:r>
    </w:p>
    <w:p w14:paraId="5649D5DD">
      <w:pPr>
        <w:keepNext w:val="0"/>
        <w:keepLines w:val="0"/>
        <w:pageBreakBefore w:val="0"/>
        <w:tabs>
          <w:tab w:val="left" w:pos="312"/>
          <w:tab w:val="left" w:pos="879"/>
          <w:tab w:val="left" w:pos="1600"/>
        </w:tabs>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2. 防滑：DIN51130</w:t>
      </w:r>
    </w:p>
    <w:p w14:paraId="75DC167B">
      <w:pPr>
        <w:keepNext w:val="0"/>
        <w:keepLines w:val="0"/>
        <w:pageBreakBefore w:val="0"/>
        <w:tabs>
          <w:tab w:val="left" w:pos="312"/>
          <w:tab w:val="left" w:pos="879"/>
          <w:tab w:val="left" w:pos="1600"/>
        </w:tabs>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3. 无石棉报告：ISO22262-1:2012</w:t>
      </w:r>
    </w:p>
    <w:p w14:paraId="15F46C01">
      <w:pPr>
        <w:keepNext w:val="0"/>
        <w:keepLines w:val="0"/>
        <w:pageBreakBefore w:val="0"/>
        <w:tabs>
          <w:tab w:val="left" w:pos="312"/>
          <w:tab w:val="left" w:pos="879"/>
          <w:tab w:val="left" w:pos="1600"/>
        </w:tabs>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4. 耐污：ISO26987-0级</w:t>
      </w:r>
    </w:p>
    <w:p w14:paraId="543848C3">
      <w:pPr>
        <w:keepNext w:val="0"/>
        <w:keepLines w:val="0"/>
        <w:pageBreakBefore w:val="0"/>
        <w:tabs>
          <w:tab w:val="left" w:pos="879"/>
          <w:tab w:val="left" w:pos="1600"/>
        </w:tabs>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5. 防霉：ASTMG21-0级无污染</w:t>
      </w:r>
    </w:p>
    <w:p w14:paraId="0F4CE9D6">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6. IMO标准-PART2&amp;PART5-船级社强制检测报告，低播焰及烟毒性报告</w:t>
      </w:r>
    </w:p>
    <w:p w14:paraId="4E0747F4">
      <w:pPr>
        <w:keepNext w:val="0"/>
        <w:keepLines w:val="0"/>
        <w:pageBreakBefore w:val="0"/>
        <w:tabs>
          <w:tab w:val="left" w:pos="312"/>
          <w:tab w:val="left" w:pos="879"/>
          <w:tab w:val="left" w:pos="1600"/>
        </w:tabs>
        <w:kinsoku/>
        <w:wordWrap/>
        <w:overflowPunct/>
        <w:topLinePunct w:val="0"/>
        <w:autoSpaceDE/>
        <w:autoSpaceDN/>
        <w:bidi w:val="0"/>
        <w:adjustRightInd/>
        <w:snapToGrid/>
        <w:spacing w:line="440" w:lineRule="atLeast"/>
        <w:ind w:left="0" w:leftChars="0" w:firstLine="480" w:firstLineChars="200"/>
        <w:rPr>
          <w:color w:val="FF0000"/>
          <w:sz w:val="24"/>
          <w:szCs w:val="24"/>
        </w:rPr>
      </w:pPr>
      <w:r>
        <w:rPr>
          <w:rFonts w:hint="eastAsia"/>
          <w:sz w:val="24"/>
          <w:szCs w:val="24"/>
        </w:rPr>
        <w:t>7.</w:t>
      </w:r>
      <w:r>
        <w:rPr>
          <w:rFonts w:hint="eastAsia"/>
          <w:color w:val="FF0000"/>
          <w:sz w:val="24"/>
          <w:szCs w:val="24"/>
        </w:rPr>
        <w:t xml:space="preserve"> CCS</w:t>
      </w:r>
      <w:r>
        <w:rPr>
          <w:rFonts w:hint="eastAsia"/>
          <w:color w:val="FF0000"/>
          <w:sz w:val="24"/>
          <w:szCs w:val="24"/>
          <w:lang w:val="en-US" w:eastAsia="zh-CN"/>
        </w:rPr>
        <w:t>船用产品</w:t>
      </w:r>
      <w:r>
        <w:rPr>
          <w:rFonts w:hint="eastAsia"/>
          <w:color w:val="FF0000"/>
          <w:sz w:val="24"/>
          <w:szCs w:val="24"/>
        </w:rPr>
        <w:t>证书</w:t>
      </w:r>
    </w:p>
    <w:p w14:paraId="686D6E18">
      <w:pPr>
        <w:pStyle w:val="18"/>
        <w:keepNext w:val="0"/>
        <w:keepLines w:val="0"/>
        <w:pageBreakBefore w:val="0"/>
        <w:tabs>
          <w:tab w:val="left" w:pos="879"/>
          <w:tab w:val="left" w:pos="1600"/>
        </w:tabs>
        <w:kinsoku/>
        <w:wordWrap/>
        <w:overflowPunct/>
        <w:topLinePunct w:val="0"/>
        <w:autoSpaceDE/>
        <w:autoSpaceDN/>
        <w:bidi w:val="0"/>
        <w:adjustRightInd/>
        <w:snapToGrid/>
        <w:spacing w:line="440" w:lineRule="atLeast"/>
        <w:ind w:left="0" w:leftChars="0" w:firstLine="0" w:firstLineChars="0"/>
        <w:rPr>
          <w:rFonts w:ascii="宋体" w:eastAsia="宋体"/>
          <w:bCs/>
          <w:w w:val="95"/>
          <w:sz w:val="24"/>
          <w:szCs w:val="24"/>
        </w:rPr>
      </w:pPr>
      <w:r>
        <w:rPr>
          <w:rFonts w:hint="eastAsia" w:ascii="宋体" w:eastAsia="宋体"/>
          <w:b/>
          <w:w w:val="95"/>
          <w:sz w:val="24"/>
          <w:szCs w:val="24"/>
        </w:rPr>
        <w:t>二、工程范围及数量</w:t>
      </w:r>
      <w:r>
        <w:rPr>
          <w:rFonts w:hint="eastAsia" w:ascii="宋体" w:eastAsia="宋体"/>
          <w:bCs/>
          <w:w w:val="95"/>
          <w:sz w:val="24"/>
          <w:szCs w:val="24"/>
        </w:rPr>
        <w:t>:</w:t>
      </w:r>
    </w:p>
    <w:tbl>
      <w:tblPr>
        <w:tblStyle w:val="14"/>
        <w:tblW w:w="9084" w:type="dxa"/>
        <w:tblInd w:w="96" w:type="dxa"/>
        <w:tblLayout w:type="autofit"/>
        <w:tblCellMar>
          <w:top w:w="0" w:type="dxa"/>
          <w:left w:w="108" w:type="dxa"/>
          <w:bottom w:w="0" w:type="dxa"/>
          <w:right w:w="108" w:type="dxa"/>
        </w:tblCellMar>
      </w:tblPr>
      <w:tblGrid>
        <w:gridCol w:w="721"/>
        <w:gridCol w:w="2552"/>
        <w:gridCol w:w="1417"/>
        <w:gridCol w:w="2126"/>
        <w:gridCol w:w="2268"/>
      </w:tblGrid>
      <w:tr w14:paraId="168A8AD2">
        <w:tblPrEx>
          <w:tblCellMar>
            <w:top w:w="0" w:type="dxa"/>
            <w:left w:w="108" w:type="dxa"/>
            <w:bottom w:w="0" w:type="dxa"/>
            <w:right w:w="108" w:type="dxa"/>
          </w:tblCellMar>
        </w:tblPrEx>
        <w:trPr>
          <w:trHeight w:val="300" w:hRule="atLeast"/>
        </w:trPr>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24A5FBFC">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2552" w:type="dxa"/>
            <w:vMerge w:val="restart"/>
            <w:tcBorders>
              <w:top w:val="single" w:color="000000" w:sz="4" w:space="0"/>
              <w:left w:val="single" w:color="000000" w:sz="4" w:space="0"/>
              <w:bottom w:val="single" w:color="000000" w:sz="4" w:space="0"/>
              <w:right w:val="single" w:color="000000" w:sz="4" w:space="0"/>
            </w:tcBorders>
            <w:noWrap/>
            <w:vAlign w:val="center"/>
          </w:tcPr>
          <w:p w14:paraId="573A58EF">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项目名称</w:t>
            </w:r>
          </w:p>
        </w:tc>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14:paraId="602EFD0F">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单位</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419548F2">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使用部位</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D901">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p>
        </w:tc>
      </w:tr>
      <w:tr w14:paraId="0C4798B8">
        <w:tblPrEx>
          <w:tblCellMar>
            <w:top w:w="0" w:type="dxa"/>
            <w:left w:w="108" w:type="dxa"/>
            <w:bottom w:w="0" w:type="dxa"/>
            <w:right w:w="108" w:type="dxa"/>
          </w:tblCellMar>
        </w:tblPrEx>
        <w:trPr>
          <w:trHeight w:val="624"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1893C0CC">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微软雅黑" w:hAnsi="微软雅黑" w:eastAsia="微软雅黑" w:cs="微软雅黑"/>
                <w:color w:val="000000"/>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noWrap/>
            <w:vAlign w:val="center"/>
          </w:tcPr>
          <w:p w14:paraId="0C423106">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微软雅黑" w:hAnsi="微软雅黑" w:eastAsia="微软雅黑" w:cs="微软雅黑"/>
                <w:color w:val="000000"/>
                <w:sz w:val="24"/>
                <w:szCs w:val="24"/>
              </w:rPr>
            </w:pPr>
          </w:p>
        </w:tc>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14:paraId="287FB1E1">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微软雅黑" w:hAnsi="微软雅黑" w:eastAsia="微软雅黑" w:cs="微软雅黑"/>
                <w:color w:val="000000"/>
                <w:sz w:val="24"/>
                <w:szCs w:val="24"/>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7500E4F7">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微软雅黑" w:hAnsi="微软雅黑" w:eastAsia="微软雅黑" w:cs="微软雅黑"/>
                <w:color w:val="00000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8F37">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微软雅黑" w:hAnsi="微软雅黑" w:eastAsia="微软雅黑" w:cs="微软雅黑"/>
                <w:color w:val="000000"/>
                <w:sz w:val="24"/>
                <w:szCs w:val="24"/>
              </w:rPr>
            </w:pPr>
          </w:p>
        </w:tc>
      </w:tr>
      <w:tr w14:paraId="38A66DFF">
        <w:trPr>
          <w:trHeight w:val="40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14:paraId="796C7344">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552" w:type="dxa"/>
            <w:vMerge w:val="restart"/>
            <w:tcBorders>
              <w:top w:val="single" w:color="000000" w:sz="4" w:space="0"/>
              <w:left w:val="single" w:color="000000" w:sz="4" w:space="0"/>
              <w:bottom w:val="single" w:color="000000" w:sz="4" w:space="0"/>
              <w:right w:val="single" w:color="000000" w:sz="4" w:space="0"/>
            </w:tcBorders>
            <w:noWrap/>
            <w:vAlign w:val="center"/>
          </w:tcPr>
          <w:p w14:paraId="3E1FE289">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舱内层地胶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4CA40E6">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7424396">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辅助空间</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AFB9AC9">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165.4</w:t>
            </w:r>
          </w:p>
        </w:tc>
      </w:tr>
      <w:tr w14:paraId="69F95FC2">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302D4AB0">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noWrap/>
            <w:vAlign w:val="center"/>
          </w:tcPr>
          <w:p w14:paraId="7FD67A42">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B3A873">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6C6E20B">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公共空间</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694C61A">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102.7</w:t>
            </w:r>
          </w:p>
        </w:tc>
      </w:tr>
      <w:tr w14:paraId="7F7CB3A1">
        <w:tblPrEx>
          <w:tblCellMar>
            <w:top w:w="0" w:type="dxa"/>
            <w:left w:w="108" w:type="dxa"/>
            <w:bottom w:w="0" w:type="dxa"/>
            <w:right w:w="108" w:type="dxa"/>
          </w:tblCellMar>
        </w:tblPrEx>
        <w:trPr>
          <w:trHeight w:val="400" w:hRule="atLeast"/>
        </w:trPr>
        <w:tc>
          <w:tcPr>
            <w:tcW w:w="721" w:type="dxa"/>
            <w:vMerge w:val="restart"/>
            <w:tcBorders>
              <w:top w:val="single" w:color="000000" w:sz="4" w:space="0"/>
              <w:left w:val="single" w:color="000000" w:sz="4" w:space="0"/>
              <w:bottom w:val="nil"/>
              <w:right w:val="single" w:color="000000" w:sz="4" w:space="0"/>
            </w:tcBorders>
            <w:noWrap/>
            <w:vAlign w:val="center"/>
          </w:tcPr>
          <w:p w14:paraId="74BF4FFF">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552" w:type="dxa"/>
            <w:vMerge w:val="restart"/>
            <w:tcBorders>
              <w:top w:val="single" w:color="000000" w:sz="4" w:space="0"/>
              <w:left w:val="single" w:color="000000" w:sz="4" w:space="0"/>
              <w:bottom w:val="nil"/>
              <w:right w:val="single" w:color="000000" w:sz="4" w:space="0"/>
            </w:tcBorders>
            <w:noWrap/>
            <w:vAlign w:val="center"/>
          </w:tcPr>
          <w:p w14:paraId="548121AE">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主甲板地胶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8CA3920">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F0486C2">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E4F2242">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87.7</w:t>
            </w:r>
          </w:p>
        </w:tc>
      </w:tr>
      <w:tr w14:paraId="767115FE">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nil"/>
              <w:right w:val="single" w:color="000000" w:sz="4" w:space="0"/>
            </w:tcBorders>
            <w:noWrap/>
            <w:vAlign w:val="center"/>
          </w:tcPr>
          <w:p w14:paraId="1FA037C6">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nil"/>
              <w:right w:val="single" w:color="000000" w:sz="4" w:space="0"/>
            </w:tcBorders>
            <w:noWrap/>
            <w:vAlign w:val="center"/>
          </w:tcPr>
          <w:p w14:paraId="60971925">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B7CDCE7">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DC72D9F">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过道区域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BCA3A1F">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358.9</w:t>
            </w:r>
          </w:p>
        </w:tc>
      </w:tr>
      <w:tr w14:paraId="1099FCE9">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nil"/>
              <w:right w:val="single" w:color="000000" w:sz="4" w:space="0"/>
            </w:tcBorders>
            <w:noWrap/>
            <w:vAlign w:val="center"/>
          </w:tcPr>
          <w:p w14:paraId="7CC64681">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nil"/>
              <w:right w:val="single" w:color="000000" w:sz="4" w:space="0"/>
            </w:tcBorders>
            <w:noWrap/>
            <w:vAlign w:val="center"/>
          </w:tcPr>
          <w:p w14:paraId="64C5E8B1">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C2C2B8E">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369297F">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船员间区域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1B11A05A">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474.1</w:t>
            </w:r>
          </w:p>
        </w:tc>
      </w:tr>
      <w:tr w14:paraId="7B0B3D08">
        <w:tblPrEx>
          <w:tblCellMar>
            <w:top w:w="0" w:type="dxa"/>
            <w:left w:w="108" w:type="dxa"/>
            <w:bottom w:w="0" w:type="dxa"/>
            <w:right w:w="108" w:type="dxa"/>
          </w:tblCellMar>
        </w:tblPrEx>
        <w:trPr>
          <w:trHeight w:val="40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14:paraId="5191A337">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552" w:type="dxa"/>
            <w:vMerge w:val="restart"/>
            <w:tcBorders>
              <w:top w:val="single" w:color="000000" w:sz="4" w:space="0"/>
              <w:left w:val="single" w:color="000000" w:sz="4" w:space="0"/>
              <w:bottom w:val="single" w:color="000000" w:sz="4" w:space="0"/>
              <w:right w:val="single" w:color="000000" w:sz="4" w:space="0"/>
            </w:tcBorders>
            <w:noWrap/>
            <w:vAlign w:val="center"/>
          </w:tcPr>
          <w:p w14:paraId="4FA5F48D">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上甲板地胶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E6C7258">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FFCC71A">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主餐厅区域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15944022">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556</w:t>
            </w:r>
          </w:p>
        </w:tc>
      </w:tr>
      <w:tr w14:paraId="7F3D5553">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1CDC8A55">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noWrap/>
            <w:vAlign w:val="center"/>
          </w:tcPr>
          <w:p w14:paraId="661D1D2D">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6B360B2">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040E070">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B2A4D1B">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75.5</w:t>
            </w:r>
          </w:p>
        </w:tc>
      </w:tr>
      <w:tr w14:paraId="78BC08A7">
        <w:tblPrEx>
          <w:tblCellMar>
            <w:top w:w="0" w:type="dxa"/>
            <w:left w:w="108" w:type="dxa"/>
            <w:bottom w:w="0" w:type="dxa"/>
            <w:right w:w="108" w:type="dxa"/>
          </w:tblCellMar>
        </w:tblPrEx>
        <w:trPr>
          <w:trHeight w:val="40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14:paraId="72E3C1D9">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552" w:type="dxa"/>
            <w:vMerge w:val="restart"/>
            <w:tcBorders>
              <w:top w:val="single" w:color="000000" w:sz="4" w:space="0"/>
              <w:left w:val="single" w:color="000000" w:sz="4" w:space="0"/>
              <w:bottom w:val="single" w:color="000000" w:sz="4" w:space="0"/>
              <w:right w:val="single" w:color="000000" w:sz="4" w:space="0"/>
            </w:tcBorders>
            <w:noWrap/>
            <w:vAlign w:val="center"/>
          </w:tcPr>
          <w:p w14:paraId="01EAB074">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游步甲板地胶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68C403A">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056A765">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主餐厅区域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7B4D0E71">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570.3</w:t>
            </w:r>
          </w:p>
        </w:tc>
      </w:tr>
      <w:tr w14:paraId="56CDA5B8">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5D4F255C">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noWrap/>
            <w:vAlign w:val="center"/>
          </w:tcPr>
          <w:p w14:paraId="6F0FBCB6">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A8174A6">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08264A3">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A1B49AE">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50.3</w:t>
            </w:r>
          </w:p>
        </w:tc>
      </w:tr>
      <w:tr w14:paraId="6413C005">
        <w:tblPrEx>
          <w:tblCellMar>
            <w:top w:w="0" w:type="dxa"/>
            <w:left w:w="108" w:type="dxa"/>
            <w:bottom w:w="0" w:type="dxa"/>
            <w:right w:w="108" w:type="dxa"/>
          </w:tblCellMar>
        </w:tblPrEx>
        <w:trPr>
          <w:trHeight w:val="40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14:paraId="00FB1455">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552" w:type="dxa"/>
            <w:vMerge w:val="restart"/>
            <w:tcBorders>
              <w:top w:val="single" w:color="000000" w:sz="4" w:space="0"/>
              <w:left w:val="single" w:color="000000" w:sz="4" w:space="0"/>
              <w:bottom w:val="single" w:color="000000" w:sz="4" w:space="0"/>
              <w:right w:val="single" w:color="000000" w:sz="4" w:space="0"/>
            </w:tcBorders>
            <w:noWrap/>
            <w:vAlign w:val="center"/>
          </w:tcPr>
          <w:p w14:paraId="257FC356">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观景甲板地胶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23F874A">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150A7FD">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VIP餐厅区域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5421B75">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570.3</w:t>
            </w:r>
          </w:p>
        </w:tc>
      </w:tr>
      <w:tr w14:paraId="1EFF50C2">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3E4A362C">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noWrap/>
            <w:vAlign w:val="center"/>
          </w:tcPr>
          <w:p w14:paraId="10877F00">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84C969F">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1B07CA8">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9BD92F0">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37.3</w:t>
            </w:r>
          </w:p>
        </w:tc>
      </w:tr>
      <w:tr w14:paraId="1FBCC097">
        <w:tblPrEx>
          <w:tblCellMar>
            <w:top w:w="0" w:type="dxa"/>
            <w:left w:w="108" w:type="dxa"/>
            <w:bottom w:w="0" w:type="dxa"/>
            <w:right w:w="108" w:type="dxa"/>
          </w:tblCellMar>
        </w:tblPrEx>
        <w:trPr>
          <w:trHeight w:val="40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14:paraId="5BED7F3D">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552" w:type="dxa"/>
            <w:vMerge w:val="restart"/>
            <w:tcBorders>
              <w:top w:val="single" w:color="000000" w:sz="4" w:space="0"/>
              <w:left w:val="single" w:color="000000" w:sz="4" w:space="0"/>
              <w:bottom w:val="single" w:color="000000" w:sz="4" w:space="0"/>
              <w:right w:val="single" w:color="000000" w:sz="4" w:space="0"/>
            </w:tcBorders>
            <w:noWrap/>
            <w:vAlign w:val="center"/>
          </w:tcPr>
          <w:p w14:paraId="1621FF4D">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驾驶甲板地胶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DBB65BE">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85BF70D">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中厅区域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73732403">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296.5</w:t>
            </w:r>
          </w:p>
        </w:tc>
      </w:tr>
      <w:tr w14:paraId="61A7053E">
        <w:tblPrEx>
          <w:tblCellMar>
            <w:top w:w="0" w:type="dxa"/>
            <w:left w:w="108" w:type="dxa"/>
            <w:bottom w:w="0" w:type="dxa"/>
            <w:right w:w="108" w:type="dxa"/>
          </w:tblCellMar>
        </w:tblPrEx>
        <w:trPr>
          <w:trHeight w:val="4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73259E28">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noWrap/>
            <w:vAlign w:val="center"/>
          </w:tcPr>
          <w:p w14:paraId="639E9935">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12C812B">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3F7558B">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客区区域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2038D08C">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28.3</w:t>
            </w:r>
          </w:p>
        </w:tc>
      </w:tr>
      <w:tr w14:paraId="279BFEAC">
        <w:tblPrEx>
          <w:tblCellMar>
            <w:top w:w="0" w:type="dxa"/>
            <w:left w:w="108" w:type="dxa"/>
            <w:bottom w:w="0" w:type="dxa"/>
            <w:right w:w="108" w:type="dxa"/>
          </w:tblCellMar>
        </w:tblPrEx>
        <w:trPr>
          <w:trHeight w:val="400" w:hRule="atLeast"/>
        </w:trPr>
        <w:tc>
          <w:tcPr>
            <w:tcW w:w="721" w:type="dxa"/>
            <w:vMerge w:val="restart"/>
            <w:tcBorders>
              <w:top w:val="nil"/>
              <w:left w:val="single" w:color="000000" w:sz="4" w:space="0"/>
              <w:bottom w:val="single" w:color="000000" w:sz="4" w:space="0"/>
              <w:right w:val="single" w:color="000000" w:sz="4" w:space="0"/>
            </w:tcBorders>
            <w:noWrap/>
            <w:vAlign w:val="center"/>
          </w:tcPr>
          <w:p w14:paraId="36D71BA2">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552" w:type="dxa"/>
            <w:vMerge w:val="restart"/>
            <w:tcBorders>
              <w:top w:val="nil"/>
              <w:left w:val="single" w:color="000000" w:sz="4" w:space="0"/>
              <w:bottom w:val="single" w:color="000000" w:sz="4" w:space="0"/>
              <w:right w:val="single" w:color="000000" w:sz="4" w:space="0"/>
            </w:tcBorders>
            <w:noWrap/>
            <w:vAlign w:val="center"/>
          </w:tcPr>
          <w:p w14:paraId="7715E2BF">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阳光甲板地胶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49D15BA">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5C05F3A">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中厅区域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877CD0F">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253.1</w:t>
            </w:r>
          </w:p>
        </w:tc>
      </w:tr>
      <w:tr w14:paraId="7F8FA32C">
        <w:tblPrEx>
          <w:tblCellMar>
            <w:top w:w="0" w:type="dxa"/>
            <w:left w:w="108" w:type="dxa"/>
            <w:bottom w:w="0" w:type="dxa"/>
            <w:right w:w="108" w:type="dxa"/>
          </w:tblCellMar>
        </w:tblPrEx>
        <w:trPr>
          <w:trHeight w:val="400" w:hRule="atLeast"/>
        </w:trPr>
        <w:tc>
          <w:tcPr>
            <w:tcW w:w="721" w:type="dxa"/>
            <w:vMerge w:val="continue"/>
            <w:tcBorders>
              <w:top w:val="nil"/>
              <w:left w:val="single" w:color="000000" w:sz="4" w:space="0"/>
              <w:bottom w:val="single" w:color="000000" w:sz="4" w:space="0"/>
              <w:right w:val="single" w:color="000000" w:sz="4" w:space="0"/>
            </w:tcBorders>
            <w:noWrap/>
            <w:vAlign w:val="center"/>
          </w:tcPr>
          <w:p w14:paraId="0A79825D">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noWrap/>
            <w:vAlign w:val="center"/>
          </w:tcPr>
          <w:p w14:paraId="02C470C4">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1A0EB40">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0B9991BB">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多功能厅</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7CABE3DD">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565.8</w:t>
            </w:r>
          </w:p>
        </w:tc>
      </w:tr>
      <w:tr w14:paraId="7D30AD75">
        <w:tblPrEx>
          <w:tblCellMar>
            <w:top w:w="0" w:type="dxa"/>
            <w:left w:w="108" w:type="dxa"/>
            <w:bottom w:w="0" w:type="dxa"/>
            <w:right w:w="108" w:type="dxa"/>
          </w:tblCellMar>
        </w:tblPrEx>
        <w:trPr>
          <w:trHeight w:val="400" w:hRule="atLeast"/>
        </w:trPr>
        <w:tc>
          <w:tcPr>
            <w:tcW w:w="721" w:type="dxa"/>
            <w:vMerge w:val="continue"/>
            <w:tcBorders>
              <w:top w:val="nil"/>
              <w:left w:val="single" w:color="000000" w:sz="4" w:space="0"/>
              <w:bottom w:val="single" w:color="000000" w:sz="4" w:space="0"/>
              <w:right w:val="single" w:color="000000" w:sz="4" w:space="0"/>
            </w:tcBorders>
            <w:noWrap/>
            <w:vAlign w:val="center"/>
          </w:tcPr>
          <w:p w14:paraId="3FCF40B1">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noWrap/>
            <w:vAlign w:val="center"/>
          </w:tcPr>
          <w:p w14:paraId="4E4CEA92">
            <w:pPr>
              <w:keepNext w:val="0"/>
              <w:keepLines w:val="0"/>
              <w:pageBreakBefore w:val="0"/>
              <w:kinsoku/>
              <w:wordWrap/>
              <w:overflowPunct/>
              <w:topLinePunct w:val="0"/>
              <w:autoSpaceDE/>
              <w:autoSpaceDN/>
              <w:bidi w:val="0"/>
              <w:adjustRightInd/>
              <w:snapToGrid/>
              <w:spacing w:line="440" w:lineRule="atLeast"/>
              <w:ind w:left="0" w:leftChars="0"/>
              <w:jc w:val="center"/>
              <w:rPr>
                <w:rFonts w:hint="eastAsia"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4C6D88A">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ascii="宋体" w:hAnsi="宋体" w:eastAsia="宋体" w:cs="宋体"/>
                <w:color w:val="000000"/>
                <w:kern w:val="0"/>
                <w:sz w:val="24"/>
                <w:szCs w:val="24"/>
                <w:lang w:bidi="ar"/>
              </w:rPr>
              <w:t>㎡</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290942F">
            <w:pPr>
              <w:keepNext w:val="0"/>
              <w:keepLines w:val="0"/>
              <w:pageBreakBefore w:val="0"/>
              <w:widowControl/>
              <w:kinsoku/>
              <w:wordWrap/>
              <w:overflowPunct/>
              <w:topLinePunct w:val="0"/>
              <w:autoSpaceDE/>
              <w:autoSpaceDN/>
              <w:bidi w:val="0"/>
              <w:adjustRightInd/>
              <w:snapToGrid/>
              <w:spacing w:line="440" w:lineRule="atLeast"/>
              <w:ind w:left="0" w:left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客区区域</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1070C243">
            <w:pPr>
              <w:keepNext w:val="0"/>
              <w:keepLines w:val="0"/>
              <w:pageBreakBefore w:val="0"/>
              <w:widowControl/>
              <w:kinsoku/>
              <w:wordWrap/>
              <w:overflowPunct/>
              <w:topLinePunct w:val="0"/>
              <w:autoSpaceDE/>
              <w:autoSpaceDN/>
              <w:bidi w:val="0"/>
              <w:adjustRightInd/>
              <w:snapToGrid/>
              <w:spacing w:line="440" w:lineRule="atLeas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73.6</w:t>
            </w:r>
          </w:p>
        </w:tc>
      </w:tr>
    </w:tbl>
    <w:p w14:paraId="5963588D">
      <w:pPr>
        <w:pStyle w:val="18"/>
        <w:keepNext w:val="0"/>
        <w:keepLines w:val="0"/>
        <w:pageBreakBefore w:val="0"/>
        <w:tabs>
          <w:tab w:val="left" w:pos="879"/>
          <w:tab w:val="left" w:pos="1600"/>
        </w:tabs>
        <w:kinsoku/>
        <w:wordWrap/>
        <w:overflowPunct/>
        <w:topLinePunct w:val="0"/>
        <w:autoSpaceDE/>
        <w:autoSpaceDN/>
        <w:bidi w:val="0"/>
        <w:adjustRightInd/>
        <w:snapToGrid/>
        <w:spacing w:line="440" w:lineRule="atLeast"/>
        <w:ind w:left="0" w:leftChars="0" w:firstLine="0" w:firstLineChars="0"/>
        <w:rPr>
          <w:rFonts w:ascii="宋体" w:eastAsia="宋体"/>
          <w:bCs/>
          <w:w w:val="95"/>
          <w:sz w:val="24"/>
          <w:szCs w:val="24"/>
        </w:rPr>
      </w:pPr>
    </w:p>
    <w:p w14:paraId="2A43444B">
      <w:pPr>
        <w:keepNext w:val="0"/>
        <w:keepLines w:val="0"/>
        <w:pageBreakBefore w:val="0"/>
        <w:kinsoku/>
        <w:wordWrap/>
        <w:overflowPunct/>
        <w:topLinePunct w:val="0"/>
        <w:autoSpaceDE/>
        <w:autoSpaceDN/>
        <w:bidi w:val="0"/>
        <w:adjustRightInd/>
        <w:snapToGrid/>
        <w:spacing w:line="440" w:lineRule="atLeast"/>
        <w:ind w:left="0" w:leftChars="0"/>
        <w:rPr>
          <w:rFonts w:ascii="宋体" w:eastAsia="宋体"/>
          <w:b/>
          <w:bCs/>
          <w:sz w:val="24"/>
          <w:szCs w:val="24"/>
        </w:rPr>
      </w:pPr>
      <w:r>
        <w:rPr>
          <w:rFonts w:hint="eastAsia" w:ascii="宋体" w:eastAsia="宋体"/>
          <w:b/>
          <w:bCs/>
          <w:sz w:val="24"/>
          <w:szCs w:val="24"/>
        </w:rPr>
        <w:t>三、技术要求：</w:t>
      </w:r>
    </w:p>
    <w:p w14:paraId="410FC525">
      <w:pPr>
        <w:keepNext w:val="0"/>
        <w:keepLines w:val="0"/>
        <w:pageBreakBefore w:val="0"/>
        <w:kinsoku/>
        <w:wordWrap/>
        <w:overflowPunct/>
        <w:topLinePunct w:val="0"/>
        <w:autoSpaceDE/>
        <w:autoSpaceDN/>
        <w:bidi w:val="0"/>
        <w:adjustRightInd/>
        <w:snapToGrid/>
        <w:spacing w:line="440" w:lineRule="atLeast"/>
        <w:ind w:left="0" w:leftChars="0"/>
        <w:rPr>
          <w:rFonts w:ascii="宋体" w:eastAsia="宋体"/>
          <w:b/>
          <w:bCs/>
          <w:sz w:val="24"/>
          <w:szCs w:val="24"/>
        </w:rPr>
      </w:pPr>
      <w:r>
        <w:rPr>
          <w:rFonts w:hint="eastAsia" w:ascii="宋体" w:eastAsia="宋体"/>
          <w:b/>
          <w:bCs/>
          <w:sz w:val="24"/>
          <w:szCs w:val="24"/>
        </w:rPr>
        <w:t>（一）PVC地板（片材）</w:t>
      </w:r>
    </w:p>
    <w:p w14:paraId="536A5BCE">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耐磨等级：</w:t>
      </w:r>
      <w:r>
        <w:rPr>
          <w:rFonts w:hint="eastAsia"/>
          <w:sz w:val="24"/>
          <w:szCs w:val="24"/>
        </w:rPr>
        <w:tab/>
      </w:r>
      <w:r>
        <w:rPr>
          <w:rFonts w:hint="eastAsia"/>
          <w:sz w:val="24"/>
          <w:szCs w:val="24"/>
        </w:rPr>
        <w:t>EN649≥T级-耐磨等级越高，产品使用寿命越长，耐磨等级：T级＞P级＞M级＞F级</w:t>
      </w:r>
    </w:p>
    <w:p w14:paraId="3250CA4C">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防滑：DIN51130≥R10-保证船员、游客的作息安全</w:t>
      </w:r>
    </w:p>
    <w:p w14:paraId="606DA4FE">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无石棉报告：ISO22262-1:2012-不含有</w:t>
      </w:r>
      <w:r>
        <w:rPr>
          <w:rFonts w:hint="eastAsia"/>
          <w:sz w:val="24"/>
          <w:szCs w:val="24"/>
        </w:rPr>
        <w:tab/>
      </w:r>
    </w:p>
    <w:p w14:paraId="695F86E0">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耐污：ISO26987-0级无污染-面对船舶使用时的复杂工况，良好的抗污能力，确保后期地板使用的维护保养</w:t>
      </w:r>
    </w:p>
    <w:p w14:paraId="10C64114">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防霉：ASTMG21-0级无污染-船舶多水环境，确保地板不发霉，确保游客的安全</w:t>
      </w:r>
    </w:p>
    <w:p w14:paraId="326D9331">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加热尺寸稳定性和翘曲：GB/T 4085-2015-良好的加热尺寸稳定性和翘曲性能，确保日常使用地板不易起缝、卷边</w:t>
      </w:r>
    </w:p>
    <w:p w14:paraId="573398B6">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防火：IMO标准-PART2&amp;PART5-船级社强制检测报告，低播焰及烟毒性报告</w:t>
      </w:r>
    </w:p>
    <w:p w14:paraId="24AA5D8C">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船级社证明：IMO标准-CCS船检证书</w:t>
      </w:r>
      <w:r>
        <w:rPr>
          <w:rFonts w:hint="eastAsia"/>
          <w:sz w:val="24"/>
          <w:szCs w:val="24"/>
        </w:rPr>
        <w:tab/>
      </w:r>
      <w:r>
        <w:rPr>
          <w:rFonts w:hint="eastAsia"/>
          <w:sz w:val="24"/>
          <w:szCs w:val="24"/>
        </w:rPr>
        <w:tab/>
      </w:r>
      <w:r>
        <w:rPr>
          <w:rFonts w:hint="eastAsia"/>
          <w:sz w:val="24"/>
          <w:szCs w:val="24"/>
        </w:rPr>
        <w:tab/>
      </w:r>
    </w:p>
    <w:p w14:paraId="36D395E8">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对苯类增塑剂证明：EN14372-DOTP增塑剂是PVC地板的重要组成部分，也是环保类PVC地板的重要检测标准，国际内高品质PVC地板会选用对苯类增塑剂（DOTP），严禁使用邻苯类增塑剂（DOP、DINP等）。增塑剂会发生游离现象，若被吸入人体，领苯类增塑剂会对人体产品不可逆的损害</w:t>
      </w:r>
    </w:p>
    <w:p w14:paraId="6E2ABB26">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邻苯二甲酸酯类增塑剂检测-39P：EN14372-100%不含有严禁使用邻苯类增塑剂（DOP、DINP等）</w:t>
      </w:r>
    </w:p>
    <w:p w14:paraId="785A80C9">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28天后的TVOC排放量TVOCafter28days：</w:t>
      </w:r>
      <w:r>
        <w:rPr>
          <w:rFonts w:hint="eastAsia"/>
          <w:sz w:val="24"/>
          <w:szCs w:val="24"/>
        </w:rPr>
        <w:tab/>
      </w:r>
      <w:r>
        <w:rPr>
          <w:rFonts w:hint="eastAsia"/>
          <w:sz w:val="24"/>
          <w:szCs w:val="24"/>
        </w:rPr>
        <w:t>ISO16000≤5μg/m³</w:t>
      </w:r>
      <w:r>
        <w:rPr>
          <w:rFonts w:hint="eastAsia"/>
          <w:sz w:val="24"/>
          <w:szCs w:val="24"/>
        </w:rPr>
        <w:tab/>
      </w:r>
      <w:r>
        <w:rPr>
          <w:rFonts w:hint="eastAsia"/>
          <w:sz w:val="24"/>
          <w:szCs w:val="24"/>
        </w:rPr>
        <w:t>-TVOC（总挥发性有机物）能引起机体免疫水平失调，影响中枢神经系统功能，出现头晕、头痛、嗜睡、无力、胸闷等自觉症状，如甲醛、二甲苯等，≤5μg/m³是该检测中最小标准值</w:t>
      </w:r>
    </w:p>
    <w:p w14:paraId="34933DC4">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甲醛：GB/T39600-ENF级，确保游客安全</w:t>
      </w:r>
    </w:p>
    <w:p w14:paraId="4A270D54">
      <w:pPr>
        <w:pStyle w:val="18"/>
        <w:keepNext w:val="0"/>
        <w:keepLines w:val="0"/>
        <w:pageBreakBefore w:val="0"/>
        <w:numPr>
          <w:ilvl w:val="0"/>
          <w:numId w:val="1"/>
        </w:numPr>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高位物质检测-REACH223项-全球最权威的高位物质检测标准，</w:t>
      </w:r>
      <w:r>
        <w:rPr>
          <w:sz w:val="24"/>
          <w:szCs w:val="24"/>
        </w:rPr>
        <w:t>欧盟强制性法规</w:t>
      </w:r>
      <w:r>
        <w:rPr>
          <w:rFonts w:hint="eastAsia"/>
          <w:sz w:val="24"/>
          <w:szCs w:val="24"/>
        </w:rPr>
        <w:t>，确保船员、乘客的室内环境安全，</w:t>
      </w:r>
    </w:p>
    <w:p w14:paraId="75497BE4">
      <w:pPr>
        <w:pStyle w:val="18"/>
        <w:keepNext w:val="0"/>
        <w:keepLines w:val="0"/>
        <w:pageBreakBefore w:val="0"/>
        <w:kinsoku/>
        <w:wordWrap/>
        <w:overflowPunct/>
        <w:topLinePunct w:val="0"/>
        <w:autoSpaceDE/>
        <w:autoSpaceDN/>
        <w:bidi w:val="0"/>
        <w:adjustRightInd/>
        <w:snapToGrid/>
        <w:spacing w:line="440" w:lineRule="atLeast"/>
        <w:ind w:left="0" w:leftChars="0" w:firstLine="480"/>
        <w:rPr>
          <w:sz w:val="24"/>
          <w:szCs w:val="24"/>
        </w:rPr>
      </w:pPr>
      <w:r>
        <w:rPr>
          <w:rFonts w:hint="eastAsia"/>
          <w:sz w:val="24"/>
          <w:szCs w:val="24"/>
        </w:rPr>
        <w:t>14.PVC地板（片材），厚度要求2.5MM；规格尺寸：按照设计要求订制。</w:t>
      </w:r>
    </w:p>
    <w:p w14:paraId="67E0C36F">
      <w:pPr>
        <w:keepNext w:val="0"/>
        <w:keepLines w:val="0"/>
        <w:pageBreakBefore w:val="0"/>
        <w:kinsoku/>
        <w:wordWrap/>
        <w:overflowPunct/>
        <w:topLinePunct w:val="0"/>
        <w:autoSpaceDE/>
        <w:autoSpaceDN/>
        <w:bidi w:val="0"/>
        <w:adjustRightInd/>
        <w:snapToGrid/>
        <w:spacing w:line="440" w:lineRule="atLeast"/>
        <w:ind w:left="0" w:leftChars="0" w:firstLine="960" w:firstLineChars="400"/>
        <w:rPr>
          <w:sz w:val="24"/>
          <w:szCs w:val="24"/>
        </w:rPr>
      </w:pPr>
      <w:r>
        <w:rPr>
          <w:rFonts w:hint="eastAsia"/>
          <w:sz w:val="24"/>
          <w:szCs w:val="24"/>
        </w:rPr>
        <w:t>PVC同质透心地板（卷材），厚度要求2MM；规格尺寸：2M*20M</w:t>
      </w:r>
    </w:p>
    <w:p w14:paraId="21A64845">
      <w:pPr>
        <w:keepNext w:val="0"/>
        <w:keepLines w:val="0"/>
        <w:pageBreakBefore w:val="0"/>
        <w:kinsoku/>
        <w:wordWrap/>
        <w:overflowPunct/>
        <w:topLinePunct w:val="0"/>
        <w:autoSpaceDE/>
        <w:autoSpaceDN/>
        <w:bidi w:val="0"/>
        <w:adjustRightInd/>
        <w:snapToGrid/>
        <w:spacing w:line="440" w:lineRule="atLeast"/>
        <w:ind w:left="0" w:leftChars="0"/>
        <w:rPr>
          <w:b/>
          <w:bCs/>
          <w:sz w:val="24"/>
          <w:szCs w:val="24"/>
        </w:rPr>
      </w:pPr>
      <w:r>
        <w:rPr>
          <w:rFonts w:hint="eastAsia"/>
          <w:b/>
          <w:bCs/>
          <w:sz w:val="24"/>
          <w:szCs w:val="24"/>
        </w:rPr>
        <w:t>（二）PVC地板（卷材）</w:t>
      </w:r>
    </w:p>
    <w:p w14:paraId="263D3EDC">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 材料：结构同质透心-PVC地板中的高端产品，由上至下都是同一花纹，表面有划伤或损害，轻微打磨就可消除，易修复。</w:t>
      </w:r>
    </w:p>
    <w:p w14:paraId="16A1343F">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2. 材料纹理：无方向性碎花纹-对于铺设没有固定方向要求，可减少施工损耗，降低成本。</w:t>
      </w:r>
    </w:p>
    <w:p w14:paraId="415E22D0">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3. 重量：EN430≤3200g/㎡-重量越轻，PVC的含量越高，产品越耐磨，可以降低船体重量，满足减重</w:t>
      </w:r>
    </w:p>
    <w:p w14:paraId="34F22665">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4. 耐磨等级：</w:t>
      </w:r>
      <w:r>
        <w:rPr>
          <w:rFonts w:hint="eastAsia"/>
          <w:sz w:val="24"/>
          <w:szCs w:val="24"/>
        </w:rPr>
        <w:tab/>
      </w:r>
      <w:r>
        <w:rPr>
          <w:rFonts w:hint="eastAsia"/>
          <w:sz w:val="24"/>
          <w:szCs w:val="24"/>
        </w:rPr>
        <w:t>EN649≥P级-耐磨等级越高，产品使用寿命越长，耐磨等级：T级＞P级＞M级＞F级</w:t>
      </w:r>
    </w:p>
    <w:p w14:paraId="6D63C31A">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5. 防滑：DIN51130≥R9-保证船员作息安全</w:t>
      </w:r>
    </w:p>
    <w:p w14:paraId="3E302181">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6. 无石棉报告：ISO22262-1:2012-不含有</w:t>
      </w:r>
      <w:r>
        <w:rPr>
          <w:rFonts w:hint="eastAsia"/>
          <w:sz w:val="24"/>
          <w:szCs w:val="24"/>
        </w:rPr>
        <w:tab/>
      </w:r>
    </w:p>
    <w:p w14:paraId="501D45B8">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7. 耐污：ISO26987-0级无污染-面对船舶使用时的复杂工况，良好的抗污能力，确保后期地板使用的维护保养</w:t>
      </w:r>
    </w:p>
    <w:p w14:paraId="567C6F47">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8. 防霉：ASTMG21-0级无污染-船舶多水环境，确保地板不发霉，确保游客的安全</w:t>
      </w:r>
    </w:p>
    <w:p w14:paraId="42C3FBB5">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9. 防火：IMO标准-PART2&amp;PART5-船级社强制检测报告，低播焰及烟毒性报告</w:t>
      </w:r>
    </w:p>
    <w:p w14:paraId="58ED9946">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10. 船级社证明：IMO标准-CCS船检证书</w:t>
      </w:r>
      <w:r>
        <w:rPr>
          <w:rFonts w:hint="eastAsia"/>
          <w:sz w:val="24"/>
          <w:szCs w:val="24"/>
        </w:rPr>
        <w:tab/>
      </w:r>
      <w:r>
        <w:rPr>
          <w:rFonts w:hint="eastAsia"/>
          <w:sz w:val="24"/>
          <w:szCs w:val="24"/>
        </w:rPr>
        <w:tab/>
      </w:r>
      <w:r>
        <w:rPr>
          <w:rFonts w:hint="eastAsia"/>
          <w:sz w:val="24"/>
          <w:szCs w:val="24"/>
        </w:rPr>
        <w:tab/>
      </w:r>
    </w:p>
    <w:p w14:paraId="202E40B7">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11. 对苯类增塑剂证明：EN14372-DOTP增塑剂是PVC地板的重要组成部分，也是环保类PVC地板的重要检测标准，国际内高品质PVC地板会选用对苯类增塑剂（DOTP），严禁使用邻苯类增塑剂（DOP、DINP等）。增塑剂会发生游离现象，若被吸入人体，领苯类增塑剂会对人体产品不可逆的损害</w:t>
      </w:r>
    </w:p>
    <w:p w14:paraId="0AA0D20B">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12. 邻苯二甲酸酯类增塑剂检测-39P：EN14372-100%不含有严禁使用邻苯类增塑剂（DOP、DINP等）</w:t>
      </w:r>
    </w:p>
    <w:p w14:paraId="64C767F1">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13. 28天后的TVOC排放量TVOCafter28days：</w:t>
      </w:r>
      <w:r>
        <w:rPr>
          <w:rFonts w:hint="eastAsia"/>
          <w:sz w:val="24"/>
          <w:szCs w:val="24"/>
        </w:rPr>
        <w:tab/>
      </w:r>
      <w:r>
        <w:rPr>
          <w:rFonts w:hint="eastAsia"/>
          <w:sz w:val="24"/>
          <w:szCs w:val="24"/>
        </w:rPr>
        <w:t>ISO16000≤5μg/m³</w:t>
      </w:r>
      <w:r>
        <w:rPr>
          <w:rFonts w:hint="eastAsia"/>
          <w:sz w:val="24"/>
          <w:szCs w:val="24"/>
        </w:rPr>
        <w:tab/>
      </w:r>
      <w:r>
        <w:rPr>
          <w:rFonts w:hint="eastAsia"/>
          <w:sz w:val="24"/>
          <w:szCs w:val="24"/>
        </w:rPr>
        <w:t>-TVOC（总挥发性有机物）能引起机体免疫水平失调，影响中枢神经系统功能，出现头晕、头痛、嗜睡、无力、胸闷等自觉症状，如甲醛、二甲苯等，≤5μg/m³是该检测中最小标准值甲醛：GB/T39600-ENF级，确保游客安全</w:t>
      </w:r>
    </w:p>
    <w:p w14:paraId="298B3F14">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sz w:val="24"/>
          <w:szCs w:val="24"/>
        </w:rPr>
      </w:pPr>
      <w:r>
        <w:rPr>
          <w:rFonts w:hint="eastAsia"/>
          <w:sz w:val="24"/>
          <w:szCs w:val="24"/>
        </w:rPr>
        <w:t>14. PVC同质透心地板（卷材），厚度要求2MM；规格尺寸：2M*20M。</w:t>
      </w:r>
    </w:p>
    <w:p w14:paraId="6C1AD553">
      <w:pPr>
        <w:keepNext w:val="0"/>
        <w:keepLines w:val="0"/>
        <w:pageBreakBefore w:val="0"/>
        <w:kinsoku/>
        <w:wordWrap/>
        <w:overflowPunct/>
        <w:topLinePunct w:val="0"/>
        <w:autoSpaceDE/>
        <w:autoSpaceDN/>
        <w:bidi w:val="0"/>
        <w:adjustRightInd/>
        <w:snapToGrid/>
        <w:spacing w:line="440" w:lineRule="atLeast"/>
        <w:ind w:left="0" w:leftChars="0"/>
        <w:rPr>
          <w:rFonts w:hint="eastAsia" w:ascii="宋体" w:hAnsi="宋体" w:eastAsia="宋体" w:cs="宋体"/>
          <w:b/>
          <w:bCs/>
          <w:sz w:val="24"/>
          <w:szCs w:val="24"/>
        </w:rPr>
      </w:pPr>
      <w:r>
        <w:rPr>
          <w:rFonts w:hint="eastAsia" w:ascii="宋体" w:hAnsi="宋体" w:eastAsia="宋体" w:cs="宋体"/>
          <w:b/>
          <w:bCs/>
          <w:sz w:val="24"/>
          <w:szCs w:val="24"/>
        </w:rPr>
        <w:t>四、安装要求：</w:t>
      </w:r>
    </w:p>
    <w:p w14:paraId="75820825">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b/>
          <w:bCs/>
          <w:sz w:val="24"/>
          <w:szCs w:val="24"/>
        </w:rPr>
      </w:pPr>
      <w:r>
        <w:rPr>
          <w:rFonts w:hint="eastAsia" w:ascii="宋体" w:hAnsi="宋体" w:eastAsia="宋体" w:cs="宋体"/>
          <w:kern w:val="0"/>
          <w:sz w:val="24"/>
          <w:szCs w:val="24"/>
          <w:lang w:bidi="ar"/>
        </w:rPr>
        <w:t>1. 使用2m靠尺检查基层地面的平整度，误差应控制在2mm以内；以回弹球等方式检测强度，如基层平整度/强度达不到要求，需要求上一个工序班组返工，至到满足施工要求。签订工序交接书后，方可进行施工。</w:t>
      </w:r>
    </w:p>
    <w:p w14:paraId="3E9C91BD">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jc w:val="left"/>
        <w:rPr>
          <w:rFonts w:hint="eastAsia" w:ascii="宋体" w:hAnsi="宋体" w:eastAsia="宋体" w:cs="宋体"/>
          <w:b/>
          <w:bCs/>
          <w:sz w:val="24"/>
          <w:szCs w:val="24"/>
        </w:rPr>
      </w:pPr>
      <w:r>
        <w:rPr>
          <w:rFonts w:hint="eastAsia" w:ascii="宋体" w:hAnsi="宋体" w:eastAsia="宋体" w:cs="宋体"/>
          <w:kern w:val="0"/>
          <w:sz w:val="24"/>
          <w:szCs w:val="24"/>
          <w:lang w:bidi="ar"/>
        </w:rPr>
        <w:t>2. 在正式铺设前，先将塑胶地板按照设计图案和尺寸进行预铺。观察地板的颜色、纹理是否协调，尺寸是否合适，如有问题及时调整。对于卷材地板，应注意卷材的方向，确保铺设后整体美观。</w:t>
      </w:r>
    </w:p>
    <w:p w14:paraId="6AD6285A">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jc w:val="left"/>
        <w:rPr>
          <w:rFonts w:hint="eastAsia" w:ascii="宋体" w:hAnsi="宋体" w:eastAsia="宋体" w:cs="宋体"/>
          <w:b/>
          <w:bCs/>
          <w:sz w:val="24"/>
          <w:szCs w:val="24"/>
        </w:rPr>
      </w:pPr>
      <w:r>
        <w:rPr>
          <w:rFonts w:hint="eastAsia" w:ascii="宋体" w:hAnsi="宋体" w:eastAsia="宋体" w:cs="宋体"/>
          <w:kern w:val="0"/>
          <w:sz w:val="24"/>
          <w:szCs w:val="24"/>
          <w:lang w:bidi="ar"/>
        </w:rPr>
        <w:t>3. 使用锯齿刮刀均匀地将胶水涂抹在基层地面上，胶层厚度应控制在1-2mm。涂抹胶水时，应根据地板的铺设方向，按照一定的顺序进行，避免漏涂。同时，要注意胶水的开放时间，在胶水达到最佳粘结状态时进行地板铺设。</w:t>
      </w:r>
    </w:p>
    <w:p w14:paraId="5CD531AA">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jc w:val="left"/>
        <w:rPr>
          <w:rFonts w:hint="eastAsia" w:ascii="宋体" w:hAnsi="宋体" w:eastAsia="宋体" w:cs="宋体"/>
          <w:b/>
          <w:bCs/>
          <w:sz w:val="24"/>
          <w:szCs w:val="24"/>
        </w:rPr>
      </w:pPr>
      <w:r>
        <w:rPr>
          <w:rFonts w:hint="eastAsia" w:ascii="宋体" w:hAnsi="宋体" w:eastAsia="宋体" w:cs="宋体"/>
          <w:kern w:val="0"/>
          <w:sz w:val="24"/>
          <w:szCs w:val="24"/>
          <w:lang w:bidi="ar"/>
        </w:rPr>
        <w:t>4. 将塑胶地板准确地铺设在涂有胶水的基层上，从房间的一角开始，逐步向其他方向推进。铺设过程中，要使用橡胶锤轻轻敲打地板，使其与基层充分粘结，同时排出地板与基层之间的空气，避免出现空鼓现象。对于片材地板，要注意拼接缝的对齐，保证拼接紧密；对于卷材地板，卷材之间的搭接宽度应不小于10mm。</w:t>
      </w:r>
    </w:p>
    <w:p w14:paraId="323F7AB3">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5. 对于有焊接要求的塑胶地板，在地板铺设完成后，等待胶水完全固化（一般需24小时以上），然后进行焊接。焊接前，先使用开槽机在拼接缝处开出V形槽，槽深约为地板厚度的2/3。选择与地板材质匹配的焊条，使用热风焊接枪将焊条均匀地填入V形槽中，焊接完成后，使用铲刀将多余的焊条铲平，使焊缝与地板表面平齐。</w:t>
      </w:r>
    </w:p>
    <w:p w14:paraId="5A14032C">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jc w:val="left"/>
        <w:rPr>
          <w:rFonts w:hint="eastAsia" w:ascii="宋体" w:hAnsi="宋体" w:eastAsia="宋体" w:cs="宋体"/>
          <w:b/>
          <w:bCs/>
          <w:sz w:val="24"/>
          <w:szCs w:val="24"/>
        </w:rPr>
      </w:pPr>
      <w:r>
        <w:rPr>
          <w:rFonts w:hint="eastAsia" w:ascii="宋体" w:hAnsi="宋体" w:eastAsia="宋体" w:cs="宋体"/>
          <w:kern w:val="0"/>
          <w:sz w:val="24"/>
          <w:szCs w:val="24"/>
          <w:lang w:bidi="ar"/>
        </w:rPr>
        <w:t>6. 塑胶地板铺设完成后，24小时内避免人员走动和重物放置。日常清洁时，可使用干净的湿拖把进行拖地，避免使用含有强酸、强碱的清洁剂，以免损坏地板表面。对于顽固污渍，可使用中性清洁剂进行局部清洁。</w:t>
      </w:r>
    </w:p>
    <w:p w14:paraId="29057D9B">
      <w:pPr>
        <w:keepNext w:val="0"/>
        <w:keepLines w:val="0"/>
        <w:pageBreakBefore w:val="0"/>
        <w:widowControl/>
        <w:kinsoku/>
        <w:wordWrap/>
        <w:overflowPunct/>
        <w:topLinePunct w:val="0"/>
        <w:autoSpaceDE/>
        <w:autoSpaceDN/>
        <w:bidi w:val="0"/>
        <w:adjustRightInd/>
        <w:snapToGrid/>
        <w:spacing w:line="440" w:lineRule="atLeast"/>
        <w:ind w:left="0" w:lef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7. 定期对塑胶地板进行打蜡保养，一般每3-6个月进行一次。打蜡前，先将地板清洁干净，然后均匀地涂抹地板蜡，待蜡干燥后，使用抛光机进行抛光，可使地板保持光亮如新，延长使用寿命。</w:t>
      </w:r>
    </w:p>
    <w:p w14:paraId="4E5082F0">
      <w:pPr>
        <w:keepNext w:val="0"/>
        <w:keepLines w:val="0"/>
        <w:pageBreakBefore w:val="0"/>
        <w:kinsoku/>
        <w:wordWrap/>
        <w:overflowPunct/>
        <w:topLinePunct w:val="0"/>
        <w:autoSpaceDE/>
        <w:autoSpaceDN/>
        <w:bidi w:val="0"/>
        <w:adjustRightInd/>
        <w:snapToGrid/>
        <w:spacing w:line="440" w:lineRule="atLeast"/>
        <w:ind w:left="0" w:leftChars="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五、其他要求</w:t>
      </w:r>
    </w:p>
    <w:p w14:paraId="5A19BF6C">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 </w:t>
      </w:r>
      <w:r>
        <w:rPr>
          <w:rFonts w:hint="eastAsia" w:ascii="宋体" w:eastAsia="宋体"/>
          <w:sz w:val="24"/>
          <w:szCs w:val="24"/>
        </w:rPr>
        <w:t>本次PVC地板招标</w:t>
      </w:r>
      <w:r>
        <w:rPr>
          <w:rFonts w:hint="eastAsia" w:ascii="宋体" w:hAnsi="宋体" w:eastAsia="宋体" w:cs="宋体"/>
          <w:sz w:val="24"/>
          <w:szCs w:val="24"/>
        </w:rPr>
        <w:t>包括主材、辅材及专用工具价格、包装运输费、保险费、装卸费、安装费、以及前期按照效果图打样的费，质保期内维护费、税费、管理费、利润等在内的项目现场（用户指定地点）交货包干价。投标人漏报或不报，采购人将视为该漏报或不报部分的费用已包括在已报的分项报价中而不予支付。</w:t>
      </w:r>
    </w:p>
    <w:p w14:paraId="5E754C30">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中标后，供应单位要根据设计要求制作400*600的样品实样设计确认后方可大面积制作。</w:t>
      </w:r>
    </w:p>
    <w:p w14:paraId="022B58DA">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发货之前，供应单位应对货物的质量、规格、性能等进行详细而全面的检验，并在交货时提供能够证明货物符合合同规定的检验证书及其他必要的文件。检验证书应附有写明制造商检验的细节和结论的说明。供应单位须保证所提供的各种文件说明的内容真实有效。检验证书及相关文件将作为发包方付款依据的组成部分，但并不作为有关质量、规格、性能、数量或重量的最终检验结论。</w:t>
      </w:r>
    </w:p>
    <w:p w14:paraId="37765BDF">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供应单位应免费对发包方进行产品维护保养方面的培训.</w:t>
      </w:r>
    </w:p>
    <w:p w14:paraId="561BC3C8">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供应单位必须提供产品质保承诺及质保期限。在工程竣工、验收合格按照投标文件承诺的质保期限签订质保协议。在此期间，如遇到与所供产品有关的问题在接发包方通知后赶至现场免费服务；</w:t>
      </w:r>
    </w:p>
    <w:p w14:paraId="451B7616">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供应单位应提供在保修期内的维修保养计划书；</w:t>
      </w:r>
    </w:p>
    <w:p w14:paraId="37D9BE17">
      <w:pPr>
        <w:keepNext w:val="0"/>
        <w:keepLines w:val="0"/>
        <w:pageBreakBefore w:val="0"/>
        <w:kinsoku/>
        <w:wordWrap/>
        <w:overflowPunct/>
        <w:topLinePunct w:val="0"/>
        <w:autoSpaceDE/>
        <w:autoSpaceDN/>
        <w:bidi w:val="0"/>
        <w:adjustRightInd/>
        <w:snapToGrid/>
        <w:spacing w:line="440" w:lineRule="atLeast"/>
        <w:ind w:left="0" w:leftChars="0" w:firstLine="480" w:firstLineChars="200"/>
        <w:rPr>
          <w:rFonts w:hint="eastAsia" w:ascii="宋体" w:hAnsi="宋体" w:eastAsia="宋体" w:cs="宋体"/>
          <w:color w:val="000000"/>
          <w:sz w:val="27"/>
        </w:rPr>
      </w:pPr>
      <w:r>
        <w:rPr>
          <w:rFonts w:hint="eastAsia" w:ascii="宋体" w:hAnsi="宋体" w:eastAsia="宋体" w:cs="宋体"/>
          <w:color w:val="000000"/>
          <w:sz w:val="24"/>
          <w:szCs w:val="24"/>
        </w:rPr>
        <w:t>7 在质保期外，供应单位应保证以优惠的价格提供维修保养服务，当发生问题时，供应单位应按照保质期内同样的要求进行处理。供应单位应提供质保期满后的维修保养价格及维修保养计划。</w:t>
      </w:r>
      <w:bookmarkStart w:id="1" w:name="_GoBack"/>
      <w:bookmarkEnd w:id="1"/>
    </w:p>
    <w:sectPr>
      <w:pgSz w:w="11906" w:h="16838"/>
      <w:pgMar w:top="1440" w:right="130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E3067"/>
    <w:multiLevelType w:val="multilevel"/>
    <w:tmpl w:val="2D0E306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300AE"/>
    <w:rsid w:val="000510C6"/>
    <w:rsid w:val="000536D9"/>
    <w:rsid w:val="00065FE9"/>
    <w:rsid w:val="00070937"/>
    <w:rsid w:val="00076CD8"/>
    <w:rsid w:val="000908FF"/>
    <w:rsid w:val="000A2C6D"/>
    <w:rsid w:val="000C1299"/>
    <w:rsid w:val="000C13CB"/>
    <w:rsid w:val="000C3879"/>
    <w:rsid w:val="000F69D3"/>
    <w:rsid w:val="0010717C"/>
    <w:rsid w:val="001242A4"/>
    <w:rsid w:val="00133D8F"/>
    <w:rsid w:val="00136C62"/>
    <w:rsid w:val="00170536"/>
    <w:rsid w:val="00187B8B"/>
    <w:rsid w:val="001A084F"/>
    <w:rsid w:val="001D0045"/>
    <w:rsid w:val="001E4361"/>
    <w:rsid w:val="001F52E2"/>
    <w:rsid w:val="00217916"/>
    <w:rsid w:val="00241376"/>
    <w:rsid w:val="0024426D"/>
    <w:rsid w:val="002540D9"/>
    <w:rsid w:val="00287C42"/>
    <w:rsid w:val="002C7DB7"/>
    <w:rsid w:val="002D3D67"/>
    <w:rsid w:val="002D77D7"/>
    <w:rsid w:val="003214FC"/>
    <w:rsid w:val="003854D8"/>
    <w:rsid w:val="003943A9"/>
    <w:rsid w:val="003B164B"/>
    <w:rsid w:val="003C69B1"/>
    <w:rsid w:val="003D59D1"/>
    <w:rsid w:val="003E1236"/>
    <w:rsid w:val="003E12EC"/>
    <w:rsid w:val="00410D0C"/>
    <w:rsid w:val="00435CD1"/>
    <w:rsid w:val="00446DC2"/>
    <w:rsid w:val="004578F8"/>
    <w:rsid w:val="00466CDB"/>
    <w:rsid w:val="004A156B"/>
    <w:rsid w:val="004E389A"/>
    <w:rsid w:val="004F2C74"/>
    <w:rsid w:val="00505B1E"/>
    <w:rsid w:val="005216E6"/>
    <w:rsid w:val="00560800"/>
    <w:rsid w:val="0056238C"/>
    <w:rsid w:val="00582712"/>
    <w:rsid w:val="00583CE3"/>
    <w:rsid w:val="005A1A20"/>
    <w:rsid w:val="00600E03"/>
    <w:rsid w:val="0061192A"/>
    <w:rsid w:val="00633068"/>
    <w:rsid w:val="006631FA"/>
    <w:rsid w:val="006704C1"/>
    <w:rsid w:val="006E19FF"/>
    <w:rsid w:val="006E4D2F"/>
    <w:rsid w:val="007050A0"/>
    <w:rsid w:val="00707A8F"/>
    <w:rsid w:val="007D1FD5"/>
    <w:rsid w:val="007E75E5"/>
    <w:rsid w:val="007F2173"/>
    <w:rsid w:val="00825181"/>
    <w:rsid w:val="008514DF"/>
    <w:rsid w:val="008643BE"/>
    <w:rsid w:val="00876C16"/>
    <w:rsid w:val="008B5657"/>
    <w:rsid w:val="008C0025"/>
    <w:rsid w:val="008C7C5B"/>
    <w:rsid w:val="008E2002"/>
    <w:rsid w:val="008E3EE1"/>
    <w:rsid w:val="0092256A"/>
    <w:rsid w:val="00925047"/>
    <w:rsid w:val="00946CA7"/>
    <w:rsid w:val="0097115A"/>
    <w:rsid w:val="00975B1C"/>
    <w:rsid w:val="009D325E"/>
    <w:rsid w:val="00A3616D"/>
    <w:rsid w:val="00A46811"/>
    <w:rsid w:val="00A765A2"/>
    <w:rsid w:val="00A81C23"/>
    <w:rsid w:val="00A820BE"/>
    <w:rsid w:val="00A84CE3"/>
    <w:rsid w:val="00AD0F61"/>
    <w:rsid w:val="00AE70B7"/>
    <w:rsid w:val="00B6795C"/>
    <w:rsid w:val="00BB060A"/>
    <w:rsid w:val="00BF30F3"/>
    <w:rsid w:val="00C41E30"/>
    <w:rsid w:val="00C51EB2"/>
    <w:rsid w:val="00C57CF2"/>
    <w:rsid w:val="00CB4CC3"/>
    <w:rsid w:val="00CC41AE"/>
    <w:rsid w:val="00D22623"/>
    <w:rsid w:val="00D57311"/>
    <w:rsid w:val="00D95F7C"/>
    <w:rsid w:val="00DB1E4A"/>
    <w:rsid w:val="00DE01D5"/>
    <w:rsid w:val="00DE72A2"/>
    <w:rsid w:val="00E573CF"/>
    <w:rsid w:val="00EA1C0A"/>
    <w:rsid w:val="00EB6431"/>
    <w:rsid w:val="00ED52AB"/>
    <w:rsid w:val="00EE0857"/>
    <w:rsid w:val="00EE14B7"/>
    <w:rsid w:val="00EF75A3"/>
    <w:rsid w:val="00F44706"/>
    <w:rsid w:val="00F577C6"/>
    <w:rsid w:val="00F7727F"/>
    <w:rsid w:val="00F83501"/>
    <w:rsid w:val="00FA6377"/>
    <w:rsid w:val="00FA733B"/>
    <w:rsid w:val="00FB2B90"/>
    <w:rsid w:val="00FD7522"/>
    <w:rsid w:val="01E15471"/>
    <w:rsid w:val="02036027"/>
    <w:rsid w:val="03E3603C"/>
    <w:rsid w:val="0486237A"/>
    <w:rsid w:val="0493639C"/>
    <w:rsid w:val="08A118B5"/>
    <w:rsid w:val="0AA35167"/>
    <w:rsid w:val="0ABC77DF"/>
    <w:rsid w:val="10565DD5"/>
    <w:rsid w:val="10C77CA2"/>
    <w:rsid w:val="113F6566"/>
    <w:rsid w:val="144343BB"/>
    <w:rsid w:val="15800741"/>
    <w:rsid w:val="167F4F9F"/>
    <w:rsid w:val="193A6A7A"/>
    <w:rsid w:val="1B105CE0"/>
    <w:rsid w:val="1B9D62D7"/>
    <w:rsid w:val="1D1F1166"/>
    <w:rsid w:val="1DF63C75"/>
    <w:rsid w:val="1E3B5B2B"/>
    <w:rsid w:val="1E473C7D"/>
    <w:rsid w:val="221A3574"/>
    <w:rsid w:val="22257CA9"/>
    <w:rsid w:val="230E1928"/>
    <w:rsid w:val="23694A22"/>
    <w:rsid w:val="237D2742"/>
    <w:rsid w:val="23D22A8E"/>
    <w:rsid w:val="25D95D7B"/>
    <w:rsid w:val="27513834"/>
    <w:rsid w:val="27C748D4"/>
    <w:rsid w:val="29427BDB"/>
    <w:rsid w:val="29739D97"/>
    <w:rsid w:val="2A3836E5"/>
    <w:rsid w:val="2C72071A"/>
    <w:rsid w:val="2D0D65D5"/>
    <w:rsid w:val="2D35EBA7"/>
    <w:rsid w:val="2D6B2A68"/>
    <w:rsid w:val="2E6860C1"/>
    <w:rsid w:val="2FAE51DD"/>
    <w:rsid w:val="301306B6"/>
    <w:rsid w:val="31436513"/>
    <w:rsid w:val="32B4010A"/>
    <w:rsid w:val="357D387B"/>
    <w:rsid w:val="39C01745"/>
    <w:rsid w:val="3AFB6916"/>
    <w:rsid w:val="3C797AF3"/>
    <w:rsid w:val="3CC40DB7"/>
    <w:rsid w:val="3FEE07F8"/>
    <w:rsid w:val="40B72B7D"/>
    <w:rsid w:val="41D43A1D"/>
    <w:rsid w:val="426A7922"/>
    <w:rsid w:val="44ED1049"/>
    <w:rsid w:val="44F248E6"/>
    <w:rsid w:val="451D593A"/>
    <w:rsid w:val="4732546E"/>
    <w:rsid w:val="477940D7"/>
    <w:rsid w:val="4B087FF0"/>
    <w:rsid w:val="4F7364FD"/>
    <w:rsid w:val="547B7F6B"/>
    <w:rsid w:val="571121C1"/>
    <w:rsid w:val="5A9F6E67"/>
    <w:rsid w:val="5BDE2D4A"/>
    <w:rsid w:val="5C693288"/>
    <w:rsid w:val="5D700B5C"/>
    <w:rsid w:val="61502F36"/>
    <w:rsid w:val="62095AE4"/>
    <w:rsid w:val="62795A85"/>
    <w:rsid w:val="63352116"/>
    <w:rsid w:val="638B7F88"/>
    <w:rsid w:val="63A06FA5"/>
    <w:rsid w:val="63EA4588"/>
    <w:rsid w:val="649410BE"/>
    <w:rsid w:val="64B43D4D"/>
    <w:rsid w:val="66213339"/>
    <w:rsid w:val="689E42BA"/>
    <w:rsid w:val="69557DDE"/>
    <w:rsid w:val="69CF6015"/>
    <w:rsid w:val="6AA63FE7"/>
    <w:rsid w:val="6AFD5EF3"/>
    <w:rsid w:val="6BF63D3D"/>
    <w:rsid w:val="6C634627"/>
    <w:rsid w:val="73121DD9"/>
    <w:rsid w:val="77C6382D"/>
    <w:rsid w:val="77D93560"/>
    <w:rsid w:val="78015086"/>
    <w:rsid w:val="7A8D0632"/>
    <w:rsid w:val="7B851309"/>
    <w:rsid w:val="7BA75723"/>
    <w:rsid w:val="7C653614"/>
    <w:rsid w:val="7D17400F"/>
    <w:rsid w:val="7D1943FF"/>
    <w:rsid w:val="7EE22D7C"/>
    <w:rsid w:val="7FBF3C4A"/>
    <w:rsid w:val="7FCFC674"/>
    <w:rsid w:val="7FEA3E31"/>
    <w:rsid w:val="D5DF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7"/>
      <w:ind w:left="1301" w:hanging="422"/>
      <w:outlineLvl w:val="0"/>
    </w:pPr>
    <w:rPr>
      <w:rFonts w:ascii="Times New Roman" w:hAnsi="Times New Roman" w:eastAsia="Times New Roman" w:cs="Times New Roman"/>
      <w:b/>
      <w:bCs/>
      <w:sz w:val="28"/>
      <w:szCs w:val="28"/>
    </w:rPr>
  </w:style>
  <w:style w:type="paragraph" w:styleId="3">
    <w:name w:val="heading 2"/>
    <w:basedOn w:val="1"/>
    <w:next w:val="1"/>
    <w:qFormat/>
    <w:uiPriority w:val="9"/>
    <w:pPr>
      <w:outlineLvl w:val="1"/>
    </w:pPr>
    <w:rPr>
      <w:rFonts w:eastAsia="微软雅黑"/>
      <w:b/>
    </w:rPr>
  </w:style>
  <w:style w:type="paragraph" w:styleId="4">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next w:val="7"/>
    <w:qFormat/>
    <w:uiPriority w:val="0"/>
    <w:pPr>
      <w:spacing w:line="700" w:lineRule="exact"/>
      <w:ind w:left="960"/>
    </w:pPr>
    <w:rPr>
      <w:sz w:val="44"/>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qFormat/>
    <w:uiPriority w:val="0"/>
    <w:pPr>
      <w:spacing w:line="360" w:lineRule="auto"/>
      <w:ind w:firstLine="420"/>
    </w:pPr>
    <w:rPr>
      <w:rFonts w:ascii="宋体" w:hAnsi="宋体"/>
      <w:sz w:val="24"/>
    </w:rPr>
  </w:style>
  <w:style w:type="paragraph" w:styleId="13">
    <w:name w:val="Body Text First Indent 2"/>
    <w:basedOn w:val="6"/>
    <w:next w:val="12"/>
    <w:qFormat/>
    <w:uiPriority w:val="0"/>
    <w:pPr>
      <w:spacing w:after="120" w:line="240" w:lineRule="auto"/>
      <w:ind w:left="420" w:leftChars="200" w:firstLine="420" w:firstLineChars="200"/>
    </w:pPr>
    <w:rPr>
      <w:sz w:val="21"/>
    </w:rPr>
  </w:style>
  <w:style w:type="character" w:styleId="16">
    <w:name w:val="Strong"/>
    <w:basedOn w:val="15"/>
    <w:qFormat/>
    <w:uiPriority w:val="0"/>
    <w:rPr>
      <w:b/>
    </w:rPr>
  </w:style>
  <w:style w:type="character" w:styleId="17">
    <w:name w:val="page number"/>
    <w:basedOn w:val="15"/>
    <w:uiPriority w:val="0"/>
  </w:style>
  <w:style w:type="paragraph" w:styleId="18">
    <w:name w:val="List Paragraph"/>
    <w:basedOn w:val="1"/>
    <w:qFormat/>
    <w:uiPriority w:val="99"/>
    <w:pPr>
      <w:ind w:firstLine="420" w:firstLineChars="200"/>
    </w:p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0"/>
    <w:rPr>
      <w:kern w:val="2"/>
      <w:sz w:val="18"/>
      <w:szCs w:val="18"/>
    </w:rPr>
  </w:style>
  <w:style w:type="paragraph" w:customStyle="1" w:styleId="21">
    <w:name w:val="招标文件1.1.1.1"/>
    <w:basedOn w:val="1"/>
    <w:qFormat/>
    <w:uiPriority w:val="0"/>
    <w:pPr>
      <w:spacing w:before="120" w:after="120" w:line="480" w:lineRule="exact"/>
      <w:ind w:left="284"/>
      <w:jc w:val="left"/>
      <w:outlineLvl w:val="4"/>
    </w:pPr>
    <w:rPr>
      <w:rFonts w:ascii="宋体" w:hAnsi="Times New Roman"/>
      <w:b/>
      <w:spacing w:val="10"/>
      <w:w w:val="95"/>
      <w:szCs w:val="21"/>
    </w:rPr>
  </w:style>
  <w:style w:type="paragraph" w:customStyle="1" w:styleId="22">
    <w:name w:val="标题4"/>
    <w:basedOn w:val="1"/>
    <w:qFormat/>
    <w:uiPriority w:val="0"/>
    <w:pPr>
      <w:spacing w:line="440" w:lineRule="exact"/>
      <w:jc w:val="left"/>
    </w:pPr>
    <w:rPr>
      <w:rFonts w:ascii="Times New Roman" w:hAnsi="Times New Roman"/>
      <w:b/>
      <w:szCs w:val="20"/>
    </w:rPr>
  </w:style>
  <w:style w:type="paragraph" w:customStyle="1" w:styleId="23">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415</Words>
  <Characters>524</Characters>
  <Lines>27</Lines>
  <Paragraphs>7</Paragraphs>
  <TotalTime>12</TotalTime>
  <ScaleCrop>false</ScaleCrop>
  <LinksUpToDate>false</LinksUpToDate>
  <CharactersWithSpaces>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2025-04-30T06:05:00Z</dcterms:created>
  <dc:creator>HP</dc:creator>
  <cp:lastModifiedBy>王远奎</cp:lastModifiedBy>
  <dcterms:modified xsi:type="dcterms:W3CDTF">2026-01-06T07:35:43Z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5C72DAF7F96C481F827550A3F521781A_13</vt:lpwstr>
  </property>
  <property fmtid="{D5CDD505-2E9C-101B-9397-08002B2CF9AE}" pid="4" name="KSOTemplateDocerSaveRecord">
    <vt:lpwstr>eyJoZGlkIjoiYmM2NzdkMWVkMWQ2Yjg1N2Y1OWQ4MTJhZmY4OTJmYjEiLCJ1c2VySWQiOiIzMzkzNTY5ODgifQ==</vt:lpwstr>
  </property>
</Properties>
</file>