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8"/>
          <w:tab w:val="center" w:pos="4218"/>
        </w:tabs>
        <w:spacing w:line="360" w:lineRule="auto"/>
        <w:jc w:val="center"/>
        <w:rPr>
          <w:rFonts w:asciiTheme="majorEastAsia" w:hAnsiTheme="majorEastAsia" w:eastAsiaTheme="majorEastAsia"/>
          <w:b/>
          <w:color w:val="000000" w:themeColor="text1"/>
          <w:sz w:val="36"/>
          <w:szCs w:val="36"/>
          <w14:textFill>
            <w14:solidFill>
              <w14:schemeClr w14:val="tx1"/>
            </w14:solidFill>
          </w14:textFill>
        </w:rPr>
      </w:pPr>
    </w:p>
    <w:p>
      <w:pPr>
        <w:tabs>
          <w:tab w:val="left" w:pos="1558"/>
          <w:tab w:val="center" w:pos="4218"/>
        </w:tabs>
        <w:spacing w:line="360" w:lineRule="auto"/>
        <w:jc w:val="center"/>
        <w:rPr>
          <w:rFonts w:ascii="方正小标宋_GBK" w:hAnsi="方正小标宋_GBK" w:eastAsia="方正小标宋_GBK" w:cs="方正小标宋_GBK"/>
          <w:b/>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val="0"/>
          <w:sz w:val="36"/>
          <w:szCs w:val="36"/>
          <w:lang w:val="en-US" w:eastAsia="zh-CN"/>
        </w:rPr>
        <w:t>130m集散货船（</w:t>
      </w:r>
      <w:r>
        <w:rPr>
          <w:rFonts w:hint="eastAsia" w:ascii="宋体" w:hAnsi="宋体" w:eastAsia="宋体" w:cs="宋体"/>
          <w:b/>
          <w:bCs w:val="0"/>
          <w:sz w:val="36"/>
          <w:szCs w:val="36"/>
          <w:lang w:val="en-US" w:eastAsia="zh-CN"/>
        </w:rPr>
        <w:t>Ⅲ</w:t>
      </w:r>
      <w:r>
        <w:rPr>
          <w:rFonts w:hint="eastAsia" w:ascii="方正小标宋_GBK" w:hAnsi="方正小标宋_GBK" w:eastAsia="方正小标宋_GBK" w:cs="方正小标宋_GBK"/>
          <w:b/>
          <w:bCs w:val="0"/>
          <w:sz w:val="36"/>
          <w:szCs w:val="36"/>
          <w:lang w:val="en-US" w:eastAsia="zh-CN"/>
        </w:rPr>
        <w:t>型）</w:t>
      </w:r>
      <w:r>
        <w:rPr>
          <w:rFonts w:hint="eastAsia" w:ascii="方正小标宋_GBK" w:hAnsi="方正小标宋_GBK" w:eastAsia="方正小标宋_GBK" w:cs="方正小标宋_GBK"/>
          <w:b/>
          <w:color w:val="000000" w:themeColor="text1"/>
          <w:sz w:val="36"/>
          <w:szCs w:val="36"/>
          <w14:textFill>
            <w14:solidFill>
              <w14:schemeClr w14:val="tx1"/>
            </w14:solidFill>
          </w14:textFill>
        </w:rPr>
        <w:t>轮机安装工程劳务</w:t>
      </w:r>
    </w:p>
    <w:p>
      <w:pPr>
        <w:spacing w:line="360" w:lineRule="auto"/>
        <w:ind w:firstLine="3308" w:firstLineChars="1373"/>
        <w:outlineLvl w:val="1"/>
        <w:rPr>
          <w:rFonts w:ascii="方正小标宋_GBK" w:hAnsi="方正小标宋_GBK" w:eastAsia="方正小标宋_GBK" w:cs="方正小标宋_GBK"/>
          <w:b/>
          <w:color w:val="000000" w:themeColor="text1"/>
          <w:sz w:val="24"/>
          <w14:textFill>
            <w14:solidFill>
              <w14:schemeClr w14:val="tx1"/>
            </w14:solidFill>
          </w14:textFill>
        </w:rPr>
      </w:pPr>
      <w:r>
        <w:rPr>
          <w:rFonts w:hint="eastAsia" w:ascii="方正小标宋_GBK" w:hAnsi="方正小标宋_GBK" w:eastAsia="方正小标宋_GBK" w:cs="方正小标宋_GBK"/>
          <w:b/>
          <w:color w:val="000000" w:themeColor="text1"/>
          <w:sz w:val="24"/>
          <w14:textFill>
            <w14:solidFill>
              <w14:schemeClr w14:val="tx1"/>
            </w14:solidFill>
          </w14:textFill>
        </w:rPr>
        <w:t>(工程编号：ZJ25-</w:t>
      </w:r>
      <w:r>
        <w:rPr>
          <w:rFonts w:hint="eastAsia" w:ascii="方正小标宋_GBK" w:hAnsi="方正小标宋_GBK" w:eastAsia="方正小标宋_GBK" w:cs="方正小标宋_GBK"/>
          <w:b/>
          <w:color w:val="000000" w:themeColor="text1"/>
          <w:sz w:val="24"/>
          <w:lang w:val="en-US" w:eastAsia="zh-CN"/>
          <w14:textFill>
            <w14:solidFill>
              <w14:schemeClr w14:val="tx1"/>
            </w14:solidFill>
          </w14:textFill>
        </w:rPr>
        <w:t>J1331</w:t>
      </w:r>
      <w:r>
        <w:rPr>
          <w:rFonts w:hint="eastAsia" w:ascii="方正小标宋_GBK" w:hAnsi="方正小标宋_GBK" w:eastAsia="方正小标宋_GBK" w:cs="方正小标宋_GBK"/>
          <w:b/>
          <w:color w:val="000000" w:themeColor="text1"/>
          <w:sz w:val="24"/>
          <w14:textFill>
            <w14:solidFill>
              <w14:schemeClr w14:val="tx1"/>
            </w14:solidFill>
          </w14:textFill>
        </w:rPr>
        <w:t>)</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tabs>
          <w:tab w:val="left" w:pos="1558"/>
          <w:tab w:val="center" w:pos="4218"/>
        </w:tabs>
        <w:spacing w:line="360" w:lineRule="auto"/>
        <w:jc w:val="center"/>
        <w:rPr>
          <w:rFonts w:asciiTheme="majorEastAsia" w:hAnsiTheme="majorEastAsia" w:eastAsiaTheme="majorEastAsia"/>
          <w:b/>
          <w:color w:val="000000" w:themeColor="text1"/>
          <w:sz w:val="72"/>
          <w:szCs w:val="72"/>
          <w14:textFill>
            <w14:solidFill>
              <w14:schemeClr w14:val="tx1"/>
            </w14:solidFill>
          </w14:textFill>
        </w:rPr>
      </w:pPr>
      <w:r>
        <w:rPr>
          <w:rFonts w:hint="eastAsia" w:asciiTheme="majorEastAsia" w:hAnsiTheme="majorEastAsia" w:eastAsiaTheme="majorEastAsia"/>
          <w:b/>
          <w:color w:val="000000" w:themeColor="text1"/>
          <w:sz w:val="72"/>
          <w:szCs w:val="72"/>
          <w14:textFill>
            <w14:solidFill>
              <w14:schemeClr w14:val="tx1"/>
            </w14:solidFill>
          </w14:textFill>
        </w:rPr>
        <w:t>竞争比选文件</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比选人：重庆中江船业有限公司</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t>202</w:t>
      </w:r>
      <w:r>
        <w:rPr>
          <w:rFonts w:hint="eastAsia" w:asciiTheme="majorEastAsia" w:hAnsiTheme="majorEastAsia" w:eastAsiaTheme="majorEastAsia"/>
          <w:b/>
          <w:color w:val="000000" w:themeColor="text1"/>
          <w:sz w:val="24"/>
          <w:lang w:val="en-US" w:eastAsia="zh-CN"/>
          <w14:textFill>
            <w14:solidFill>
              <w14:schemeClr w14:val="tx1"/>
            </w14:solidFill>
          </w14:textFill>
        </w:rPr>
        <w:t>6</w:t>
      </w:r>
      <w:r>
        <w:rPr>
          <w:rFonts w:asciiTheme="majorEastAsia" w:hAnsiTheme="majorEastAsia" w:eastAsiaTheme="majorEastAsia"/>
          <w:b/>
          <w:color w:val="000000" w:themeColor="text1"/>
          <w:sz w:val="24"/>
          <w14:textFill>
            <w14:solidFill>
              <w14:schemeClr w14:val="tx1"/>
            </w14:solidFill>
          </w14:textFill>
        </w:rPr>
        <w:t>年</w:t>
      </w:r>
      <w:r>
        <w:rPr>
          <w:rFonts w:hint="eastAsia" w:asciiTheme="majorEastAsia" w:hAnsiTheme="majorEastAsia" w:eastAsiaTheme="majorEastAsia"/>
          <w:b/>
          <w:color w:val="000000" w:themeColor="text1"/>
          <w:sz w:val="24"/>
          <w:lang w:val="en-US" w:eastAsia="zh-CN"/>
          <w14:textFill>
            <w14:solidFill>
              <w14:schemeClr w14:val="tx1"/>
            </w14:solidFill>
          </w14:textFill>
        </w:rPr>
        <w:t>3</w:t>
      </w:r>
      <w:r>
        <w:rPr>
          <w:rFonts w:asciiTheme="majorEastAsia" w:hAnsiTheme="majorEastAsia" w:eastAsiaTheme="majorEastAsia"/>
          <w:b/>
          <w:color w:val="000000" w:themeColor="text1"/>
          <w:sz w:val="24"/>
          <w14:textFill>
            <w14:solidFill>
              <w14:schemeClr w14:val="tx1"/>
            </w14:solidFill>
          </w14:textFill>
        </w:rPr>
        <w:t>月</w:t>
      </w:r>
      <w:r>
        <w:rPr>
          <w:rFonts w:hint="eastAsia" w:asciiTheme="majorEastAsia" w:hAnsiTheme="majorEastAsia" w:eastAsiaTheme="majorEastAsia"/>
          <w:b/>
          <w:color w:val="000000" w:themeColor="text1"/>
          <w:sz w:val="24"/>
          <w:lang w:val="en-US" w:eastAsia="zh-CN"/>
          <w14:textFill>
            <w14:solidFill>
              <w14:schemeClr w14:val="tx1"/>
            </w14:solidFill>
          </w14:textFill>
        </w:rPr>
        <w:t>2</w:t>
      </w:r>
      <w:r>
        <w:rPr>
          <w:rFonts w:asciiTheme="majorEastAsia" w:hAnsiTheme="majorEastAsia" w:eastAsiaTheme="majorEastAsia"/>
          <w:b/>
          <w:color w:val="000000" w:themeColor="text1"/>
          <w:sz w:val="24"/>
          <w14:textFill>
            <w14:solidFill>
              <w14:schemeClr w14:val="tx1"/>
            </w14:solidFill>
          </w14:textFill>
        </w:rPr>
        <w:t>日</w:t>
      </w:r>
    </w:p>
    <w:p>
      <w:pPr>
        <w:widowControl/>
        <w:jc w:val="left"/>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br w:type="page"/>
      </w:r>
    </w:p>
    <w:p>
      <w:pPr>
        <w:spacing w:line="360" w:lineRule="auto"/>
        <w:jc w:val="center"/>
        <w:outlineLvl w:val="1"/>
        <w:rPr>
          <w:rFonts w:cs="楷体"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r>
        <w:rPr>
          <w:rFonts w:hint="eastAsia" w:cs="楷体" w:asciiTheme="majorEastAsia" w:hAnsiTheme="majorEastAsia" w:eastAsiaTheme="majorEastAsia"/>
          <w:b/>
          <w:color w:val="000000" w:themeColor="text1"/>
          <w:sz w:val="32"/>
          <w:szCs w:val="32"/>
          <w14:textFill>
            <w14:solidFill>
              <w14:schemeClr w14:val="tx1"/>
            </w14:solidFill>
          </w14:textFill>
        </w:rPr>
        <w:t>比 选 文 件 目 录</w:t>
      </w: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 xml:space="preserve">第一章  比选公告－---------------------------------------1 </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第二章  竞标须知－------------------------------------2-11</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第三章 工程内容及界面－--------------------------12-14</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第四章  合同格式－--------------------------------------15-35</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第五章  比选参选书－--------------------------------------36-37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第六章 辅助资料表－--------------------------------3</w:t>
      </w:r>
      <w:r>
        <w:rPr>
          <w:rFonts w:cs="楷体" w:asciiTheme="majorEastAsia" w:hAnsiTheme="majorEastAsia" w:eastAsiaTheme="majorEastAsia"/>
          <w:color w:val="000000" w:themeColor="text1"/>
          <w:sz w:val="28"/>
          <w:szCs w:val="28"/>
          <w14:textFill>
            <w14:solidFill>
              <w14:schemeClr w14:val="tx1"/>
            </w14:solidFill>
          </w14:textFill>
        </w:rPr>
        <w:t>8</w:t>
      </w:r>
      <w:r>
        <w:rPr>
          <w:rFonts w:hint="eastAsia" w:cs="楷体" w:asciiTheme="majorEastAsia" w:hAnsiTheme="majorEastAsia" w:eastAsiaTheme="majorEastAsia"/>
          <w:color w:val="000000" w:themeColor="text1"/>
          <w:sz w:val="28"/>
          <w:szCs w:val="28"/>
          <w14:textFill>
            <w14:solidFill>
              <w14:schemeClr w14:val="tx1"/>
            </w14:solidFill>
          </w14:textFill>
        </w:rPr>
        <w:t>-4</w:t>
      </w:r>
      <w:r>
        <w:rPr>
          <w:rFonts w:cs="楷体" w:asciiTheme="majorEastAsia" w:hAnsiTheme="majorEastAsia" w:eastAsiaTheme="majorEastAsia"/>
          <w:color w:val="000000" w:themeColor="text1"/>
          <w:sz w:val="28"/>
          <w:szCs w:val="28"/>
          <w14:textFill>
            <w14:solidFill>
              <w14:schemeClr w14:val="tx1"/>
            </w14:solidFill>
          </w14:textFill>
        </w:rPr>
        <w:t>5</w:t>
      </w:r>
      <w:r>
        <w:rPr>
          <w:rFonts w:hint="eastAsia" w:cs="楷体" w:asciiTheme="majorEastAsia" w:hAnsiTheme="majorEastAsia" w:eastAsiaTheme="majorEastAsia"/>
          <w:color w:val="000000" w:themeColor="text1"/>
          <w:sz w:val="28"/>
          <w:szCs w:val="28"/>
          <w14:textFill>
            <w14:solidFill>
              <w14:schemeClr w14:val="tx1"/>
            </w14:solidFill>
          </w14:textFill>
        </w:rPr>
        <w:t xml:space="preserve">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第七章 比选评标办法－----------------------------4</w:t>
      </w:r>
      <w:r>
        <w:rPr>
          <w:rFonts w:cs="楷体" w:asciiTheme="majorEastAsia" w:hAnsiTheme="majorEastAsia" w:eastAsiaTheme="majorEastAsia"/>
          <w:color w:val="000000" w:themeColor="text1"/>
          <w:sz w:val="28"/>
          <w:szCs w:val="28"/>
          <w14:textFill>
            <w14:solidFill>
              <w14:schemeClr w14:val="tx1"/>
            </w14:solidFill>
          </w14:textFill>
        </w:rPr>
        <w:t>6</w:t>
      </w:r>
      <w:r>
        <w:rPr>
          <w:rFonts w:hint="eastAsia" w:cs="楷体" w:asciiTheme="majorEastAsia" w:hAnsiTheme="majorEastAsia" w:eastAsiaTheme="majorEastAsia"/>
          <w:color w:val="000000" w:themeColor="text1"/>
          <w:sz w:val="28"/>
          <w:szCs w:val="28"/>
          <w14:textFill>
            <w14:solidFill>
              <w14:schemeClr w14:val="tx1"/>
            </w14:solidFill>
          </w14:textFill>
        </w:rPr>
        <w:t>-4</w:t>
      </w:r>
      <w:r>
        <w:rPr>
          <w:rFonts w:cs="楷体" w:asciiTheme="majorEastAsia" w:hAnsiTheme="majorEastAsia" w:eastAsiaTheme="majorEastAsia"/>
          <w:color w:val="000000" w:themeColor="text1"/>
          <w:sz w:val="28"/>
          <w:szCs w:val="28"/>
          <w14:textFill>
            <w14:solidFill>
              <w14:schemeClr w14:val="tx1"/>
            </w14:solidFill>
          </w14:textFill>
        </w:rPr>
        <w:t>8</w:t>
      </w:r>
    </w:p>
    <w:p>
      <w:pPr>
        <w:spacing w:line="360" w:lineRule="auto"/>
        <w:jc w:val="distribute"/>
        <w:rPr>
          <w:rFonts w:cs="楷体" w:asciiTheme="majorEastAsia" w:hAnsiTheme="majorEastAsia" w:eastAsiaTheme="majorEastAsia"/>
          <w:color w:val="000000" w:themeColor="text1"/>
          <w:sz w:val="24"/>
          <w14:textFill>
            <w14:solidFill>
              <w14:schemeClr w14:val="tx1"/>
            </w14:solidFill>
          </w14:textFill>
        </w:rPr>
      </w:pPr>
      <w:r>
        <w:rPr>
          <w:rFonts w:hint="eastAsia" w:cs="楷体" w:asciiTheme="majorEastAsia" w:hAnsiTheme="majorEastAsia" w:eastAsiaTheme="majorEastAsia"/>
          <w:color w:val="000000" w:themeColor="text1"/>
          <w:sz w:val="24"/>
          <w14:textFill>
            <w14:solidFill>
              <w14:schemeClr w14:val="tx1"/>
            </w14:solidFill>
          </w14:textFill>
        </w:rPr>
        <w:t xml:space="preserve">   </w:t>
      </w: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方正小标宋_GBK" w:hAnsi="方正小标宋_GBK" w:eastAsia="方正小标宋_GBK" w:cs="方正小标宋_GBK"/>
          <w:b/>
          <w:color w:val="000000" w:themeColor="text1"/>
          <w:sz w:val="32"/>
          <w:szCs w:val="32"/>
          <w14:textFill>
            <w14:solidFill>
              <w14:schemeClr w14:val="tx1"/>
            </w14:solidFill>
          </w14:textFill>
        </w:rPr>
        <w:sectPr>
          <w:footerReference r:id="rId3" w:type="default"/>
          <w:pgSz w:w="11906" w:h="16838"/>
          <w:pgMar w:top="1134" w:right="1134" w:bottom="1134" w:left="1134" w:header="851" w:footer="992" w:gutter="0"/>
          <w:cols w:space="425" w:num="1"/>
          <w:docGrid w:linePitch="312" w:charSpace="0"/>
        </w:sectPr>
      </w:pPr>
    </w:p>
    <w:p>
      <w:pPr>
        <w:spacing w:line="360" w:lineRule="auto"/>
        <w:jc w:val="center"/>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第一章  比选公告</w:t>
      </w:r>
    </w:p>
    <w:p>
      <w:pPr>
        <w:spacing w:line="360" w:lineRule="auto"/>
        <w:jc w:val="center"/>
        <w:rPr>
          <w:rFonts w:asciiTheme="majorEastAsia" w:hAnsiTheme="majorEastAsia" w:eastAsiaTheme="majorEastAsia"/>
          <w:b/>
          <w:color w:val="000000" w:themeColor="text1"/>
          <w:sz w:val="18"/>
          <w:szCs w:val="18"/>
          <w14:textFill>
            <w14:solidFill>
              <w14:schemeClr w14:val="tx1"/>
            </w14:solidFill>
          </w14:textFill>
        </w:rPr>
      </w:pPr>
      <w:r>
        <w:rPr>
          <w:rFonts w:hint="eastAsia" w:asciiTheme="majorEastAsia" w:hAnsiTheme="majorEastAsia" w:eastAsiaTheme="majorEastAsia"/>
          <w:b/>
          <w:color w:val="000000" w:themeColor="text1"/>
          <w:sz w:val="18"/>
          <w:szCs w:val="18"/>
          <w14:textFill>
            <w14:solidFill>
              <w14:schemeClr w14:val="tx1"/>
            </w14:solidFill>
          </w14:textFill>
        </w:rPr>
        <w:t xml:space="preserve">     </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1、重庆中江船业有公司（以下简称“比选人”）现组织</w:t>
      </w:r>
      <w:r>
        <w:rPr>
          <w:rFonts w:hint="eastAsia" w:ascii="方正仿宋_GBK" w:hAnsi="方正仿宋_GBK" w:eastAsia="方正仿宋_GBK" w:cs="方正仿宋_GBK"/>
          <w:bCs/>
          <w:sz w:val="28"/>
          <w:szCs w:val="28"/>
          <w:lang w:val="en-US" w:eastAsia="zh-CN"/>
        </w:rPr>
        <w:t>130m集散货船（Ⅲ型）（锦海捷亚1号  ZJ25-J1331）</w:t>
      </w:r>
      <w:r>
        <w:rPr>
          <w:rFonts w:hint="eastAsia" w:ascii="方正仿宋_GBK" w:hAnsi="方正仿宋_GBK" w:eastAsia="方正仿宋_GBK" w:cs="方正仿宋_GBK"/>
          <w:color w:val="000000"/>
          <w:sz w:val="28"/>
          <w:szCs w:val="28"/>
          <w:lang w:eastAsia="zh-CN"/>
        </w:rPr>
        <w:t>轮机安装</w:t>
      </w:r>
      <w:r>
        <w:rPr>
          <w:rFonts w:hint="eastAsia" w:ascii="方正仿宋_GBK" w:hAnsi="方正仿宋_GBK" w:eastAsia="方正仿宋_GBK" w:cs="方正仿宋_GBK"/>
          <w:color w:val="000000"/>
          <w:sz w:val="28"/>
          <w:szCs w:val="28"/>
        </w:rPr>
        <w:t>劳务工</w:t>
      </w:r>
      <w:r>
        <w:rPr>
          <w:rFonts w:hint="eastAsia" w:ascii="方正仿宋_GBK" w:hAnsi="方正仿宋_GBK" w:eastAsia="方正仿宋_GBK" w:cs="方正仿宋_GBK"/>
          <w:color w:val="000000"/>
          <w:sz w:val="28"/>
          <w:szCs w:val="28"/>
          <w:lang w:eastAsia="zh-CN"/>
        </w:rPr>
        <w:t>程</w:t>
      </w:r>
      <w:r>
        <w:rPr>
          <w:rFonts w:hint="eastAsia" w:ascii="方正仿宋_GBK" w:hAnsi="方正仿宋_GBK" w:eastAsia="方正仿宋_GBK" w:cs="方正仿宋_GBK"/>
          <w:color w:val="000000"/>
          <w:sz w:val="28"/>
          <w:szCs w:val="28"/>
        </w:rPr>
        <w:t>项目的实施、交验和售后等竞争性比选，请符合资质要求的竞标人参加比选。</w:t>
      </w:r>
    </w:p>
    <w:p>
      <w:pPr>
        <w:spacing w:line="460" w:lineRule="exact"/>
        <w:ind w:firstLine="560" w:firstLineChars="200"/>
        <w:rPr>
          <w:rFonts w:hint="eastAsia" w:ascii="方正仿宋_GBK" w:hAnsi="方正仿宋_GBK" w:eastAsia="方正仿宋_GBK" w:cs="方正仿宋_GBK"/>
          <w:strike/>
          <w:color w:val="000000"/>
          <w:sz w:val="28"/>
          <w:szCs w:val="28"/>
        </w:rPr>
      </w:pPr>
      <w:r>
        <w:rPr>
          <w:rFonts w:hint="eastAsia" w:ascii="方正仿宋_GBK" w:hAnsi="方正仿宋_GBK" w:eastAsia="方正仿宋_GBK" w:cs="方正仿宋_GBK"/>
          <w:color w:val="000000"/>
          <w:sz w:val="28"/>
          <w:szCs w:val="28"/>
        </w:rPr>
        <w:t>2、请潜在竞标人于202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4</w:t>
      </w:r>
      <w:r>
        <w:rPr>
          <w:rFonts w:hint="eastAsia" w:ascii="方正仿宋_GBK" w:hAnsi="方正仿宋_GBK" w:eastAsia="方正仿宋_GBK" w:cs="方正仿宋_GBK"/>
          <w:color w:val="000000"/>
          <w:sz w:val="28"/>
          <w:szCs w:val="28"/>
        </w:rPr>
        <w:t>日起到重庆轮船（集团）有限公司网站的企业公告上下载比选文件及相关附件（网址：http://www.cqship.com/html/qygg/）。</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3、我公司不组织工程现场考察及标前会议，请潜在竞标人认真阅读竞标文件，自行进行现场考察。</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4、竞标人资格要求：</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具有独立承担民事责任的能力；良好的商业信誉和健全的财务会计制度；履行合同所必需的设备和专业技术能力；</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有依法缴纳税收和社会保障资金的良好记录；</w:t>
      </w:r>
    </w:p>
    <w:p>
      <w:pPr>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近三年内，在经营活动中没有重大违法记录；</w:t>
      </w:r>
    </w:p>
    <w:p>
      <w:pPr>
        <w:tabs>
          <w:tab w:val="left" w:pos="8351"/>
        </w:tabs>
        <w:spacing w:line="460" w:lineRule="exact"/>
        <w:ind w:firstLine="980" w:firstLineChars="3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企业经营资质必须满足船舶</w:t>
      </w:r>
      <w:r>
        <w:rPr>
          <w:rFonts w:hint="eastAsia" w:ascii="方正仿宋_GBK" w:hAnsi="方正仿宋_GBK" w:eastAsia="方正仿宋_GBK" w:cs="方正仿宋_GBK"/>
          <w:color w:val="000000"/>
          <w:sz w:val="28"/>
          <w:szCs w:val="28"/>
          <w:lang w:eastAsia="zh-CN"/>
        </w:rPr>
        <w:t>机电设备安装</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eastAsia="zh-CN"/>
        </w:rPr>
        <w:tab/>
      </w:r>
    </w:p>
    <w:p>
      <w:pPr>
        <w:pStyle w:val="11"/>
        <w:numPr>
          <w:ilvl w:val="0"/>
          <w:numId w:val="1"/>
        </w:numPr>
        <w:spacing w:line="276" w:lineRule="auto"/>
        <w:ind w:firstLine="560" w:firstLineChars="200"/>
        <w:jc w:val="both"/>
        <w:rPr>
          <w:rFonts w:hint="eastAsia" w:ascii="宋体" w:hAnsi="宋体"/>
          <w:color w:val="000000"/>
          <w:sz w:val="28"/>
          <w:szCs w:val="28"/>
        </w:rPr>
      </w:pPr>
      <w:r>
        <w:rPr>
          <w:rFonts w:hint="eastAsia" w:ascii="方正仿宋_GBK" w:hAnsi="方正仿宋_GBK" w:eastAsia="方正仿宋_GBK" w:cs="方正仿宋_GBK"/>
          <w:color w:val="000000"/>
          <w:sz w:val="28"/>
          <w:szCs w:val="28"/>
        </w:rPr>
        <w:t>限价：</w:t>
      </w:r>
      <w:r>
        <w:rPr>
          <w:rFonts w:hint="eastAsia" w:ascii="方正仿宋_GBK" w:hAnsi="方正仿宋_GBK" w:eastAsia="方正仿宋_GBK" w:cs="方正仿宋_GBK"/>
          <w:color w:val="000000"/>
          <w:sz w:val="28"/>
          <w:szCs w:val="28"/>
          <w:lang w:val="en-US" w:eastAsia="zh-CN"/>
        </w:rPr>
        <w:t>41万元 /</w:t>
      </w:r>
      <w:r>
        <w:rPr>
          <w:rFonts w:hint="eastAsia" w:ascii="方正仿宋_GBK" w:hAnsi="方正仿宋_GBK" w:eastAsia="方正仿宋_GBK" w:cs="方正仿宋_GBK"/>
          <w:color w:val="000000"/>
          <w:sz w:val="28"/>
          <w:szCs w:val="28"/>
        </w:rPr>
        <w:t>艘（含3 %增值税）</w:t>
      </w:r>
    </w:p>
    <w:p>
      <w:pPr>
        <w:numPr>
          <w:ilvl w:val="0"/>
          <w:numId w:val="0"/>
        </w:numPr>
        <w:rPr>
          <w:rFonts w:hint="eastAsia" w:eastAsia="宋体"/>
          <w:lang w:val="en-US" w:eastAsia="zh-CN"/>
        </w:rPr>
      </w:pPr>
      <w:r>
        <w:rPr>
          <w:rFonts w:hint="eastAsia"/>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sz w:val="28"/>
          <w:szCs w:val="28"/>
          <w:lang w:val="en-US" w:eastAsia="zh-CN"/>
        </w:rPr>
        <w:t>6、</w:t>
      </w:r>
      <w:r>
        <w:rPr>
          <w:rFonts w:hint="eastAsia" w:ascii="方正仿宋_GBK" w:hAnsi="方正仿宋_GBK" w:eastAsia="方正仿宋_GBK" w:cs="方正仿宋_GBK"/>
          <w:color w:val="000000"/>
          <w:sz w:val="28"/>
          <w:szCs w:val="28"/>
        </w:rPr>
        <w:t>本项目比选人可根据生产情况，单艘安排</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lang w:eastAsia="zh-CN"/>
        </w:rPr>
        <w:t>家轮机</w:t>
      </w:r>
      <w:r>
        <w:rPr>
          <w:rFonts w:hint="eastAsia" w:ascii="方正仿宋_GBK" w:hAnsi="方正仿宋_GBK" w:eastAsia="方正仿宋_GBK" w:cs="方正仿宋_GBK"/>
          <w:color w:val="000000"/>
          <w:sz w:val="28"/>
          <w:szCs w:val="28"/>
        </w:rPr>
        <w:t>施工单位进行施工</w:t>
      </w:r>
      <w:r>
        <w:rPr>
          <w:rFonts w:hint="eastAsia" w:ascii="方正仿宋_GBK" w:hAnsi="方正仿宋_GBK" w:eastAsia="方正仿宋_GBK" w:cs="方正仿宋_GBK"/>
          <w:color w:val="000000"/>
          <w:sz w:val="28"/>
          <w:szCs w:val="28"/>
          <w:lang w:eastAsia="zh-CN"/>
        </w:rPr>
        <w:t>。</w:t>
      </w:r>
    </w:p>
    <w:p>
      <w:pPr>
        <w:spacing w:line="460" w:lineRule="exact"/>
        <w:ind w:left="1"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、竞标文件递交的截止时间为 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9</w:t>
      </w:r>
      <w:r>
        <w:rPr>
          <w:rFonts w:hint="eastAsia" w:ascii="方正仿宋_GBK" w:hAnsi="方正仿宋_GBK" w:eastAsia="方正仿宋_GBK" w:cs="方正仿宋_GBK"/>
          <w:color w:val="000000"/>
          <w:sz w:val="28"/>
          <w:szCs w:val="28"/>
        </w:rPr>
        <w:t>日1</w:t>
      </w:r>
      <w:r>
        <w:rPr>
          <w:rFonts w:hint="eastAsia" w:ascii="方正仿宋_GBK" w:hAnsi="方正仿宋_GBK" w:eastAsia="方正仿宋_GBK" w:cs="方正仿宋_GBK"/>
          <w:color w:val="000000"/>
          <w:sz w:val="28"/>
          <w:szCs w:val="28"/>
          <w:lang w:val="en-US" w:eastAsia="zh-CN"/>
        </w:rPr>
        <w:t>0:00</w:t>
      </w:r>
      <w:r>
        <w:rPr>
          <w:rFonts w:hint="eastAsia" w:ascii="方正仿宋_GBK" w:hAnsi="方正仿宋_GBK" w:eastAsia="方正仿宋_GBK" w:cs="方正仿宋_GBK"/>
          <w:color w:val="000000"/>
          <w:sz w:val="28"/>
          <w:szCs w:val="28"/>
        </w:rPr>
        <w:t>，竞标文件必须在上述时间之前递交至重庆中江船业有限公司造船部，</w:t>
      </w:r>
      <w:r>
        <w:rPr>
          <w:rFonts w:hint="eastAsia" w:ascii="方正仿宋_GBK" w:hAnsi="方正仿宋_GBK" w:eastAsia="方正仿宋_GBK" w:cs="方正仿宋_GBK"/>
          <w:color w:val="000000"/>
          <w:kern w:val="0"/>
          <w:sz w:val="28"/>
          <w:szCs w:val="28"/>
        </w:rPr>
        <w:t>逾期送达的或未送达指定地点的竞标文件，比选人</w:t>
      </w:r>
      <w:r>
        <w:rPr>
          <w:rFonts w:hint="eastAsia" w:ascii="方正仿宋_GBK" w:hAnsi="方正仿宋_GBK" w:eastAsia="方正仿宋_GBK" w:cs="方正仿宋_GBK"/>
          <w:color w:val="000000"/>
          <w:sz w:val="28"/>
          <w:szCs w:val="28"/>
        </w:rPr>
        <w:t>不予受理。比选</w:t>
      </w:r>
      <w:r>
        <w:rPr>
          <w:rFonts w:hint="eastAsia" w:ascii="方正仿宋_GBK" w:hAnsi="方正仿宋_GBK" w:eastAsia="方正仿宋_GBK" w:cs="方正仿宋_GBK"/>
          <w:color w:val="000000"/>
          <w:sz w:val="28"/>
          <w:szCs w:val="28"/>
          <w:lang w:eastAsia="zh-TW"/>
        </w:rPr>
        <w:t>人定于</w:t>
      </w:r>
      <w:r>
        <w:rPr>
          <w:rFonts w:hint="eastAsia" w:ascii="方正仿宋_GBK" w:hAnsi="方正仿宋_GBK" w:eastAsia="方正仿宋_GBK" w:cs="方正仿宋_GBK"/>
          <w:color w:val="000000"/>
          <w:sz w:val="28"/>
          <w:szCs w:val="28"/>
        </w:rPr>
        <w:t>竞标</w:t>
      </w:r>
      <w:r>
        <w:rPr>
          <w:rFonts w:hint="eastAsia" w:ascii="方正仿宋_GBK" w:hAnsi="方正仿宋_GBK" w:eastAsia="方正仿宋_GBK" w:cs="方正仿宋_GBK"/>
          <w:color w:val="000000"/>
          <w:sz w:val="28"/>
          <w:szCs w:val="28"/>
          <w:lang w:eastAsia="zh-TW"/>
        </w:rPr>
        <w:t>文件</w:t>
      </w:r>
      <w:r>
        <w:rPr>
          <w:rFonts w:hint="eastAsia" w:ascii="方正仿宋_GBK" w:hAnsi="方正仿宋_GBK" w:eastAsia="方正仿宋_GBK" w:cs="方正仿宋_GBK"/>
          <w:color w:val="000000"/>
          <w:sz w:val="28"/>
          <w:szCs w:val="28"/>
        </w:rPr>
        <w:t>递</w:t>
      </w:r>
      <w:r>
        <w:rPr>
          <w:rFonts w:hint="eastAsia" w:ascii="方正仿宋_GBK" w:hAnsi="方正仿宋_GBK" w:eastAsia="方正仿宋_GBK" w:cs="方正仿宋_GBK"/>
          <w:color w:val="000000"/>
          <w:sz w:val="28"/>
          <w:szCs w:val="28"/>
          <w:lang w:eastAsia="zh-TW"/>
        </w:rPr>
        <w:t>交截止的同</w:t>
      </w:r>
      <w:r>
        <w:rPr>
          <w:rFonts w:hint="eastAsia" w:ascii="方正仿宋_GBK" w:hAnsi="方正仿宋_GBK" w:eastAsia="方正仿宋_GBK" w:cs="方正仿宋_GBK"/>
          <w:color w:val="000000"/>
          <w:sz w:val="28"/>
          <w:szCs w:val="28"/>
        </w:rPr>
        <w:t>一</w:t>
      </w:r>
      <w:r>
        <w:rPr>
          <w:rFonts w:hint="eastAsia" w:ascii="方正仿宋_GBK" w:hAnsi="方正仿宋_GBK" w:eastAsia="方正仿宋_GBK" w:cs="方正仿宋_GBK"/>
          <w:color w:val="000000"/>
          <w:sz w:val="28"/>
          <w:szCs w:val="28"/>
          <w:lang w:eastAsia="zh-TW"/>
        </w:rPr>
        <w:t>时间、</w:t>
      </w:r>
      <w:r>
        <w:rPr>
          <w:rFonts w:hint="eastAsia" w:ascii="方正仿宋_GBK" w:hAnsi="方正仿宋_GBK" w:eastAsia="方正仿宋_GBK" w:cs="方正仿宋_GBK"/>
          <w:color w:val="000000"/>
          <w:sz w:val="28"/>
          <w:szCs w:val="28"/>
        </w:rPr>
        <w:t>地点进行比选、评选</w:t>
      </w:r>
      <w:r>
        <w:rPr>
          <w:rFonts w:hint="eastAsia" w:ascii="方正仿宋_GBK" w:hAnsi="方正仿宋_GBK" w:eastAsia="方正仿宋_GBK" w:cs="方正仿宋_GBK"/>
          <w:color w:val="000000"/>
          <w:sz w:val="28"/>
          <w:szCs w:val="28"/>
          <w:lang w:eastAsia="zh-TW"/>
        </w:rPr>
        <w:t>。</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、比选会议定于202</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9</w:t>
      </w:r>
      <w:r>
        <w:rPr>
          <w:rFonts w:hint="eastAsia" w:ascii="方正仿宋_GBK" w:hAnsi="方正仿宋_GBK" w:eastAsia="方正仿宋_GBK" w:cs="方正仿宋_GBK"/>
          <w:color w:val="000000"/>
          <w:sz w:val="28"/>
          <w:szCs w:val="28"/>
        </w:rPr>
        <w:t>日 1</w:t>
      </w:r>
      <w:r>
        <w:rPr>
          <w:rFonts w:hint="eastAsia" w:ascii="方正仿宋_GBK" w:hAnsi="方正仿宋_GBK" w:eastAsia="方正仿宋_GBK" w:cs="方正仿宋_GBK"/>
          <w:color w:val="000000"/>
          <w:sz w:val="28"/>
          <w:szCs w:val="28"/>
          <w:lang w:val="en-US" w:eastAsia="zh-CN"/>
        </w:rPr>
        <w:t>0:00</w:t>
      </w:r>
      <w:r>
        <w:rPr>
          <w:rFonts w:hint="eastAsia" w:ascii="方正仿宋_GBK" w:hAnsi="方正仿宋_GBK" w:eastAsia="方正仿宋_GBK" w:cs="方正仿宋_GBK"/>
          <w:color w:val="000000"/>
          <w:sz w:val="28"/>
          <w:szCs w:val="28"/>
        </w:rPr>
        <w:t xml:space="preserve"> 在重庆中江船业有限公司现场会议室举行，比选单位可派2人以内代表出席。</w:t>
      </w:r>
    </w:p>
    <w:p>
      <w:pPr>
        <w:spacing w:line="460" w:lineRule="exact"/>
        <w:ind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9</w:t>
      </w:r>
      <w:r>
        <w:rPr>
          <w:rFonts w:hint="eastAsia" w:ascii="方正仿宋_GBK" w:hAnsi="方正仿宋_GBK" w:eastAsia="方正仿宋_GBK" w:cs="方正仿宋_GBK"/>
          <w:color w:val="000000"/>
          <w:sz w:val="28"/>
          <w:szCs w:val="28"/>
        </w:rPr>
        <w:t>、有关比选详细要求请参照竞标文件。</w:t>
      </w:r>
    </w:p>
    <w:p>
      <w:pPr>
        <w:spacing w:line="460" w:lineRule="exact"/>
        <w:ind w:left="546" w:leftChars="260"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比 选 人：重庆中江船业有限公司</w:t>
      </w:r>
    </w:p>
    <w:p>
      <w:pPr>
        <w:pStyle w:val="13"/>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地    址：重庆市涪陵区珍溪镇中江路1号</w:t>
      </w:r>
    </w:p>
    <w:p>
      <w:pPr>
        <w:pStyle w:val="13"/>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电话（传真）：023-8569601</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 xml:space="preserve">  </w:t>
      </w:r>
    </w:p>
    <w:p>
      <w:pPr>
        <w:pStyle w:val="13"/>
        <w:spacing w:line="460" w:lineRule="exact"/>
        <w:ind w:left="540" w:leftChars="257" w:firstLine="2100" w:firstLineChars="7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联 系 人：    张云    13996761875   </w:t>
      </w:r>
    </w:p>
    <w:p>
      <w:pPr>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 xml:space="preserve">                                 </w:t>
      </w:r>
    </w:p>
    <w:p>
      <w:pPr>
        <w:widowControl/>
        <w:jc w:val="left"/>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第二章  竞标须知</w:t>
      </w:r>
    </w:p>
    <w:p>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w:t>
      </w:r>
      <w:bookmarkStart w:id="0" w:name="OLE_LINK18"/>
      <w:r>
        <w:rPr>
          <w:rFonts w:hint="eastAsia" w:ascii="方正仿宋_GBK" w:hAnsi="方正仿宋_GBK" w:eastAsia="方正仿宋_GBK" w:cs="方正仿宋_GBK"/>
          <w:b/>
          <w:color w:val="000000" w:themeColor="text1"/>
          <w:sz w:val="28"/>
          <w:szCs w:val="28"/>
          <w14:textFill>
            <w14:solidFill>
              <w14:schemeClr w14:val="tx1"/>
            </w14:solidFill>
          </w14:textFill>
        </w:rPr>
        <w:t>竞标人</w:t>
      </w:r>
      <w:bookmarkEnd w:id="0"/>
      <w:r>
        <w:rPr>
          <w:rFonts w:hint="eastAsia" w:ascii="方正仿宋_GBK" w:hAnsi="方正仿宋_GBK" w:eastAsia="方正仿宋_GBK" w:cs="方正仿宋_GBK"/>
          <w:b/>
          <w:color w:val="000000" w:themeColor="text1"/>
          <w:sz w:val="28"/>
          <w:szCs w:val="28"/>
          <w14:textFill>
            <w14:solidFill>
              <w14:schemeClr w14:val="tx1"/>
            </w14:solidFill>
          </w14:textFill>
        </w:rPr>
        <w:t>须知前附表</w:t>
      </w:r>
    </w:p>
    <w:tbl>
      <w:tblPr>
        <w:tblStyle w:val="16"/>
        <w:tblW w:w="8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exac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项号</w:t>
            </w:r>
          </w:p>
        </w:tc>
        <w:tc>
          <w:tcPr>
            <w:tcW w:w="7948" w:type="dxa"/>
            <w:gridSpan w:val="3"/>
            <w:vAlign w:val="center"/>
          </w:tcPr>
          <w:p>
            <w:pPr>
              <w:tabs>
                <w:tab w:val="left" w:pos="3225"/>
              </w:tabs>
              <w:adjustRightInd w:val="0"/>
              <w:snapToGrid w:val="0"/>
              <w:spacing w:line="360" w:lineRule="auto"/>
              <w:jc w:val="cente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166"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w:t>
            </w:r>
          </w:p>
        </w:tc>
        <w:tc>
          <w:tcPr>
            <w:tcW w:w="6782" w:type="dxa"/>
            <w:gridSpan w:val="2"/>
            <w:vAlign w:val="center"/>
          </w:tcPr>
          <w:p>
            <w:pPr>
              <w:tabs>
                <w:tab w:val="left" w:pos="3225"/>
              </w:tabs>
              <w:adjustRightInd w:val="0"/>
              <w:snapToGrid w:val="0"/>
              <w:spacing w:line="320" w:lineRule="exact"/>
              <w:ind w:left="1680" w:hanging="1680" w:hangingChars="6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bCs/>
                <w:sz w:val="28"/>
                <w:szCs w:val="28"/>
                <w:lang w:val="en-US" w:eastAsia="zh-CN"/>
              </w:rPr>
              <w:t>130m集散货船（Ⅲ型）（锦海捷亚1号ZJ25-J1331）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轮机安装工程</w:t>
            </w:r>
          </w:p>
          <w:p>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工程地点：重庆市涪陵区珍溪镇中江路1号</w:t>
            </w:r>
          </w:p>
          <w:p>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承包方式：劳务</w:t>
            </w:r>
          </w:p>
          <w:p>
            <w:pPr>
              <w:tabs>
                <w:tab w:val="left" w:pos="3225"/>
              </w:tabs>
              <w:adjustRightInd w:val="0"/>
              <w:snapToGrid w:val="0"/>
              <w:spacing w:line="320" w:lineRule="exact"/>
              <w:rPr>
                <w:rFonts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总体工期：202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8"/>
                <w:szCs w:val="28"/>
                <w14:textFill>
                  <w14:solidFill>
                    <w14:schemeClr w14:val="tx1"/>
                  </w14:solidFill>
                </w14:textFill>
              </w:rPr>
              <w:t>日 ～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p>
            <w:pPr>
              <w:tabs>
                <w:tab w:val="left" w:pos="3225"/>
              </w:tabs>
              <w:adjustRightInd w:val="0"/>
              <w:snapToGrid w:val="0"/>
              <w:spacing w:line="32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质量要求：优良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jc w:val="center"/>
        </w:trPr>
        <w:tc>
          <w:tcPr>
            <w:tcW w:w="813" w:type="dxa"/>
            <w:vMerge w:val="restart"/>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166" w:type="dxa"/>
            <w:vMerge w:val="restart"/>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间</w:t>
            </w: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领标时间</w:t>
            </w:r>
          </w:p>
        </w:tc>
        <w:tc>
          <w:tcPr>
            <w:tcW w:w="5418"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公告之日至202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领标地点</w:t>
            </w:r>
          </w:p>
        </w:tc>
        <w:tc>
          <w:tcPr>
            <w:tcW w:w="5418"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重庆轮船（集团）有限公司网站自行下载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截标时间</w:t>
            </w:r>
          </w:p>
        </w:tc>
        <w:tc>
          <w:tcPr>
            <w:tcW w:w="5418" w:type="dxa"/>
            <w:vAlign w:val="bottom"/>
          </w:tcPr>
          <w:p>
            <w:pPr>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8"/>
                <w:szCs w:val="28"/>
                <w14:textFill>
                  <w14:solidFill>
                    <w14:schemeClr w14:val="tx1"/>
                  </w14:solidFill>
                </w14:textFill>
              </w:rPr>
              <w:t>日10时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exac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开标时间</w:t>
            </w:r>
          </w:p>
        </w:tc>
        <w:tc>
          <w:tcPr>
            <w:tcW w:w="5418" w:type="dxa"/>
            <w:vAlign w:val="bottom"/>
          </w:tcPr>
          <w:p>
            <w:pPr>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8"/>
                <w:szCs w:val="28"/>
                <w14:textFill>
                  <w14:solidFill>
                    <w14:schemeClr w14:val="tx1"/>
                  </w14:solidFill>
                </w14:textFill>
              </w:rPr>
              <w:t>日10时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开标地点</w:t>
            </w:r>
          </w:p>
        </w:tc>
        <w:tc>
          <w:tcPr>
            <w:tcW w:w="5418"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exac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2530" w:type="dxa"/>
            <w:gridSpan w:val="2"/>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竞标人资格要求</w:t>
            </w:r>
          </w:p>
        </w:tc>
        <w:tc>
          <w:tcPr>
            <w:tcW w:w="5418" w:type="dxa"/>
            <w:vAlign w:val="center"/>
          </w:tcPr>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具有独立承担民事责任的能力；良好的商业信誉和健全的财务会计制度；履行合同所必需的设备和专业技术能力；</w:t>
            </w:r>
          </w:p>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有依法缴纳税收和社会保障资金的良好记录；</w:t>
            </w:r>
          </w:p>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近三年内，在经营活动中没有重大违法记录；</w:t>
            </w:r>
          </w:p>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企业经营资质必须满足船舶</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机电设备安装。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w:t>
            </w:r>
          </w:p>
        </w:tc>
        <w:tc>
          <w:tcPr>
            <w:tcW w:w="2530" w:type="dxa"/>
            <w:gridSpan w:val="2"/>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履约保证金</w:t>
            </w:r>
          </w:p>
        </w:tc>
        <w:tc>
          <w:tcPr>
            <w:tcW w:w="5418" w:type="dxa"/>
            <w:vAlign w:val="center"/>
          </w:tcPr>
          <w:p>
            <w:pPr>
              <w:tabs>
                <w:tab w:val="left" w:pos="3225"/>
              </w:tabs>
              <w:adjustRightInd w:val="0"/>
              <w:snapToGrid w:val="0"/>
              <w:spacing w:line="2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按合同总价款的5%收取</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，在第一期工程款中扣除</w:t>
            </w: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13"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2530" w:type="dxa"/>
            <w:gridSpan w:val="2"/>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投标文件份数</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13" w:type="dxa"/>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w:t>
            </w:r>
          </w:p>
        </w:tc>
        <w:tc>
          <w:tcPr>
            <w:tcW w:w="2530" w:type="dxa"/>
            <w:gridSpan w:val="2"/>
            <w:vAlign w:val="bottom"/>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现场考察</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p>
        </w:tc>
        <w:tc>
          <w:tcPr>
            <w:tcW w:w="2530" w:type="dxa"/>
            <w:gridSpan w:val="2"/>
            <w:vAlign w:val="center"/>
          </w:tcPr>
          <w:p>
            <w:pPr>
              <w:tabs>
                <w:tab w:val="left" w:pos="3225"/>
              </w:tabs>
              <w:adjustRightInd w:val="0"/>
              <w:snapToGrid w:val="0"/>
              <w:spacing w:line="360" w:lineRule="auto"/>
              <w:ind w:firstLine="700" w:firstLineChars="2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提问和澄清</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潜在竞标人以书面传真形式进行澄清，传真号023-85696016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w:t>
            </w:r>
          </w:p>
        </w:tc>
        <w:tc>
          <w:tcPr>
            <w:tcW w:w="2530" w:type="dxa"/>
            <w:gridSpan w:val="2"/>
            <w:vAlign w:val="center"/>
          </w:tcPr>
          <w:p>
            <w:pPr>
              <w:tabs>
                <w:tab w:val="left" w:pos="3225"/>
              </w:tabs>
              <w:adjustRightInd w:val="0"/>
              <w:snapToGrid w:val="0"/>
              <w:spacing w:line="360" w:lineRule="auto"/>
              <w:ind w:firstLine="700" w:firstLineChars="2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答疑和补遗</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统一在重庆轮船（集团）有限公司网站上发布公告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13" w:type="dxa"/>
            <w:vMerge w:val="restart"/>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w:t>
            </w:r>
          </w:p>
        </w:tc>
        <w:tc>
          <w:tcPr>
            <w:tcW w:w="1166" w:type="dxa"/>
            <w:vMerge w:val="restart"/>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文</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件</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w:t>
            </w:r>
          </w:p>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交</w:t>
            </w: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比选人</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涪陵区珍溪镇中江路1号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递交时间</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8"/>
                <w:szCs w:val="28"/>
                <w14:textFill>
                  <w14:solidFill>
                    <w14:schemeClr w14:val="tx1"/>
                  </w14:solidFill>
                </w14:textFill>
              </w:rPr>
              <w:t>日 10时之前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  话</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023-85696016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E-mail</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13"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w:t>
            </w:r>
          </w:p>
        </w:tc>
        <w:tc>
          <w:tcPr>
            <w:tcW w:w="2530" w:type="dxa"/>
            <w:gridSpan w:val="2"/>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比选方案</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13" w:type="dxa"/>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w:t>
            </w:r>
          </w:p>
        </w:tc>
        <w:tc>
          <w:tcPr>
            <w:tcW w:w="2530" w:type="dxa"/>
            <w:gridSpan w:val="2"/>
            <w:vAlign w:val="center"/>
          </w:tcPr>
          <w:p>
            <w:pPr>
              <w:tabs>
                <w:tab w:val="left" w:pos="3225"/>
              </w:tabs>
              <w:adjustRightInd w:val="0"/>
              <w:snapToGrid w:val="0"/>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其它</w:t>
            </w:r>
          </w:p>
        </w:tc>
        <w:tc>
          <w:tcPr>
            <w:tcW w:w="5418" w:type="dxa"/>
            <w:vAlign w:val="center"/>
          </w:tcPr>
          <w:p>
            <w:pPr>
              <w:tabs>
                <w:tab w:val="left" w:pos="3225"/>
              </w:tabs>
              <w:adjustRightInd w:val="0"/>
              <w:snapToGrid w:val="0"/>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tc>
      </w:tr>
    </w:tbl>
    <w:p>
      <w:pPr>
        <w:widowControl/>
        <w:ind w:firstLine="3614" w:firstLineChars="1500"/>
        <w:jc w:val="left"/>
        <w:rPr>
          <w:rFonts w:asciiTheme="majorEastAsia" w:hAnsiTheme="majorEastAsia" w:eastAsiaTheme="majorEastAsia"/>
          <w:b/>
          <w:color w:val="000000" w:themeColor="text1"/>
          <w:sz w:val="24"/>
          <w14:textFill>
            <w14:solidFill>
              <w14:schemeClr w14:val="tx1"/>
            </w14:solidFill>
          </w14:textFill>
        </w:rPr>
      </w:pPr>
    </w:p>
    <w:p>
      <w:pPr>
        <w:widowControl/>
        <w:ind w:firstLine="4518" w:firstLineChars="1500"/>
        <w:jc w:val="left"/>
        <w:rPr>
          <w:rFonts w:ascii="方正仿宋_GBK" w:hAnsi="方正仿宋_GBK" w:eastAsia="方正仿宋_GBK" w:cs="方正仿宋_GBK"/>
          <w:b/>
          <w:color w:val="000000" w:themeColor="text1"/>
          <w:sz w:val="30"/>
          <w:szCs w:val="30"/>
          <w14:textFill>
            <w14:solidFill>
              <w14:schemeClr w14:val="tx1"/>
            </w14:solidFill>
          </w14:textFill>
        </w:rPr>
      </w:pPr>
      <w:r>
        <w:rPr>
          <w:rFonts w:hint="eastAsia" w:ascii="方正仿宋_GBK" w:hAnsi="方正仿宋_GBK" w:eastAsia="方正仿宋_GBK" w:cs="方正仿宋_GBK"/>
          <w:b/>
          <w:color w:val="000000" w:themeColor="text1"/>
          <w:sz w:val="30"/>
          <w:szCs w:val="30"/>
          <w14:textFill>
            <w14:solidFill>
              <w14:schemeClr w14:val="tx1"/>
            </w14:solidFill>
          </w14:textFill>
        </w:rPr>
        <w:t>竞标单位须知</w:t>
      </w:r>
    </w:p>
    <w:p>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一、总则</w:t>
      </w:r>
    </w:p>
    <w:p>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1、工程说明</w:t>
      </w:r>
    </w:p>
    <w:p>
      <w:pPr>
        <w:spacing w:line="360" w:lineRule="auto"/>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  工程的说明见竞标须知前附表（以下简称“前附表”）。</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  关于工程的详细说明见本比选文件</w:t>
      </w:r>
      <w:r>
        <w:rPr>
          <w:rFonts w:hint="eastAsia" w:ascii="方正仿宋_GBK" w:hAnsi="方正仿宋_GBK" w:eastAsia="方正仿宋_GBK" w:cs="方正仿宋_GBK"/>
          <w:bCs/>
          <w:color w:val="000000" w:themeColor="text1"/>
          <w:sz w:val="28"/>
          <w:szCs w:val="28"/>
          <w14:textFill>
            <w14:solidFill>
              <w14:schemeClr w14:val="tx1"/>
            </w14:solidFill>
          </w14:textFill>
        </w:rPr>
        <w:t>及施工图纸 （</w:t>
      </w:r>
      <w:r>
        <w:rPr>
          <w:rFonts w:hint="eastAsia" w:ascii="方正仿宋_GBK" w:hAnsi="方正仿宋_GBK" w:eastAsia="方正仿宋_GBK" w:cs="方正仿宋_GBK"/>
          <w:color w:val="000000" w:themeColor="text1"/>
          <w:sz w:val="28"/>
          <w:szCs w:val="28"/>
          <w14:textFill>
            <w14:solidFill>
              <w14:schemeClr w14:val="tx1"/>
            </w14:solidFill>
          </w14:textFill>
        </w:rPr>
        <w:t>图号：CQLR41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44A</w:t>
      </w:r>
      <w:r>
        <w:rPr>
          <w:rFonts w:hint="eastAsia" w:ascii="方正仿宋_GBK" w:hAnsi="方正仿宋_GBK" w:eastAsia="方正仿宋_GBK" w:cs="方正仿宋_GBK"/>
          <w:color w:val="000000" w:themeColor="text1"/>
          <w:sz w:val="28"/>
          <w:szCs w:val="28"/>
          <w14:textFill>
            <w14:solidFill>
              <w14:schemeClr w14:val="tx1"/>
            </w14:solidFill>
          </w14:textFill>
        </w:rPr>
        <w:t>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2、竞标费用</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竞标单位应承担其编制竞标文件与递交竞标文件所涉及的一切费用，比选人对上述费用不承担任何责任。</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二、竞标文件</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1、竞标文件组成</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  竞标文件包括下列文件及所有按本须知第3条发出的补充资料等。</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第一章  比选公告</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第二章  竞标须知</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第三章  工程内容及界面</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第四章  合同格式</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第五章  比选参选书</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第六章  辅助资料表</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第七章  比选评标办法</w:t>
      </w:r>
    </w:p>
    <w:p>
      <w:pPr>
        <w:spacing w:line="360" w:lineRule="auto"/>
        <w:ind w:firstLine="57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竞标单位应认真阅读竞标文件。如果竞标单位编制的竞标文件在实质上不响应比选文件要求，其竞标文件将被比选人拒绝。</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2、竞标文件的解释</w:t>
      </w:r>
    </w:p>
    <w:p>
      <w:pPr>
        <w:spacing w:line="360" w:lineRule="auto"/>
        <w:ind w:firstLine="784" w:firstLineChars="28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竞标单位在收到比选文件后，若有问题需要澄清，应于202</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sz w:val="28"/>
          <w:szCs w:val="28"/>
          <w14:textFill>
            <w14:solidFill>
              <w14:schemeClr w14:val="tx1"/>
            </w14:solidFill>
          </w14:textFill>
        </w:rPr>
        <w:t>年</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sz w:val="28"/>
          <w:szCs w:val="28"/>
          <w14:textFill>
            <w14:solidFill>
              <w14:schemeClr w14:val="tx1"/>
            </w14:solidFill>
          </w14:textFill>
        </w:rPr>
        <w:t>月</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9</w:t>
      </w:r>
      <w:r>
        <w:rPr>
          <w:rFonts w:hint="eastAsia" w:ascii="方正仿宋_GBK" w:hAnsi="方正仿宋_GBK" w:eastAsia="方正仿宋_GBK" w:cs="方正仿宋_GBK"/>
          <w:bCs/>
          <w:color w:val="000000" w:themeColor="text1"/>
          <w:sz w:val="28"/>
          <w:szCs w:val="28"/>
          <w14:textFill>
            <w14:solidFill>
              <w14:schemeClr w14:val="tx1"/>
            </w14:solidFill>
          </w14:textFill>
        </w:rPr>
        <w:t>日前，以书面形式</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或</w:t>
      </w:r>
      <w:r>
        <w:rPr>
          <w:rFonts w:hint="eastAsia" w:ascii="方正仿宋_GBK" w:hAnsi="方正仿宋_GBK" w:eastAsia="方正仿宋_GBK" w:cs="方正仿宋_GBK"/>
          <w:bCs/>
          <w:color w:val="000000" w:themeColor="text1"/>
          <w:sz w:val="28"/>
          <w:szCs w:val="28"/>
          <w14:textFill>
            <w14:solidFill>
              <w14:schemeClr w14:val="tx1"/>
            </w14:solidFill>
          </w14:textFill>
        </w:rPr>
        <w:t>通过电话方式向比选人提出，（联系人  张云；电话  13996761875），比选人将统一在重庆轮船（集团）有限公司网站上发布答疑澄清公告，由竞标单位自行下载，不管竞标单位是否下载，均视同知悉答疑澄清内容。</w:t>
      </w:r>
    </w:p>
    <w:p>
      <w:p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3、竞标文件的修改</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3.1  在竞标截止日期前，比选人有权利以补遗的方式修改比选文件。</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3.2  补遗通知统一在重庆轮船（集团）有限公司网站上发布补遗公告，由竞标单位自行下载，不管竞标单位是否下载，均视同知悉补遗内容。补遗通知作为比选文件的组成部分，对竞标单位起约束作用。</w:t>
      </w:r>
    </w:p>
    <w:p>
      <w:pPr>
        <w:spacing w:line="360" w:lineRule="auto"/>
        <w:ind w:firstLine="560" w:firstLineChars="200"/>
        <w:outlineLvl w:val="1"/>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3.3  为使竞标单位在编制竞标文件时把补遗通知内容考虑进去，比选人有权酌情延长递交投标文件及开标日期。</w:t>
      </w:r>
    </w:p>
    <w:p>
      <w:pPr>
        <w:numPr>
          <w:ilvl w:val="0"/>
          <w:numId w:val="2"/>
        </w:numPr>
        <w:spacing w:line="360" w:lineRule="auto"/>
        <w:outlineLvl w:val="1"/>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竞标报价说明</w:t>
      </w:r>
    </w:p>
    <w:p>
      <w:pPr>
        <w:spacing w:line="46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本项目比选人可根据生产情况安排一家轮机安装施工单位进行施工，竞标单位按照单艘船进行报价。</w:t>
      </w:r>
    </w:p>
    <w:p>
      <w:pPr>
        <w:spacing w:line="46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轮机安装劳务工程招标限价：4</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万元/艘</w:t>
      </w:r>
      <w:r>
        <w:rPr>
          <w:rFonts w:hint="eastAsia" w:ascii="方正仿宋_GBK" w:hAnsi="方正仿宋_GBK" w:eastAsia="方正仿宋_GBK" w:cs="方正仿宋_GBK"/>
          <w:color w:val="000000"/>
          <w:sz w:val="28"/>
          <w:szCs w:val="28"/>
        </w:rPr>
        <w:t>（含税3%）</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11"/>
        <w:spacing w:line="480" w:lineRule="exact"/>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2工程界面。</w:t>
      </w:r>
    </w:p>
    <w:p>
      <w:pPr>
        <w:widowControl/>
        <w:numPr>
          <w:ilvl w:val="0"/>
          <w:numId w:val="3"/>
        </w:numPr>
        <w:spacing w:line="460" w:lineRule="exact"/>
        <w:ind w:firstLine="700" w:firstLineChars="25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主推进系统（柴油机、齿轮箱、高弹联轴器、GVU阀箱）；（2）发电机组（机组、GVU阀箱）；（3）压缩空气系统（空压机、主空气瓶、汽笛缓冲气瓶、杂用气瓶、控制空气瓶、汽笛）；（4） 燃油系统（燃油泵、手摇泵、启动快关阀箱）；（5）滑油系统（齿轮箱滑油备用泵、尾轴油和污滑油手摇泵、滑油分离机）；（6）消防、舱底水系统（舱底泵、消防泵、喷射泵、水雾泵、应急消防泵、C02灭火装置</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7）日用水系统（储罐式电热水器、淡水泵、净水器、净水器源水泵、管道增压泵）；（8）防污染系统（污油水泵、污油泵、生活污水泵组）；（9）甲板机械（锚机、艉绞）；（10）轴舵系（尾轴、艉管、中间轴、可拆联轴节、车叶、轴系刹车装置、中间轴承、舵机、舵叶）；（11）侧推装置；（12）LNG大型设备定位；（13）全船管系</w:t>
      </w:r>
      <w:r>
        <w:rPr>
          <w:rFonts w:hint="eastAsia" w:ascii="方正仿宋_GBK" w:hAnsi="方正仿宋_GBK" w:eastAsia="方正仿宋_GBK" w:cs="方正仿宋_GBK"/>
          <w:bCs/>
          <w:sz w:val="28"/>
          <w:szCs w:val="28"/>
          <w:lang w:eastAsia="zh-CN"/>
        </w:rPr>
        <w:t>安装（</w:t>
      </w:r>
      <w:r>
        <w:rPr>
          <w:rFonts w:hint="eastAsia" w:ascii="方正仿宋_GBK" w:hAnsi="方正仿宋_GBK" w:eastAsia="方正仿宋_GBK" w:cs="方正仿宋_GBK"/>
          <w:bCs/>
          <w:sz w:val="28"/>
          <w:szCs w:val="28"/>
          <w:lang w:val="en-US" w:eastAsia="zh-CN"/>
        </w:rPr>
        <w:t>LNG系统管系除外</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；（14）机修工具；（15）通风系统（机舱风机、侧推舱风机、CO2间风机、电瓶间风机、厨房风机、舵机舱风机）（16）火星熄灭装置；（17）压载管系液压系统；</w:t>
      </w:r>
      <w:r>
        <w:rPr>
          <w:rFonts w:hint="eastAsia" w:ascii="方正仿宋_GBK" w:hAnsi="方正仿宋_GBK" w:eastAsia="方正仿宋_GBK" w:cs="方正仿宋_GBK"/>
          <w:bCs/>
          <w:sz w:val="28"/>
          <w:szCs w:val="28"/>
          <w:lang w:val="en-US" w:eastAsia="zh-CN"/>
        </w:rPr>
        <w:t>(18)油箱、油柜液位计安装；（19）全船喷淋系统安装；</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en-US" w:eastAsia="zh-CN"/>
        </w:rPr>
        <w:t>20</w:t>
      </w:r>
      <w:r>
        <w:rPr>
          <w:rFonts w:hint="eastAsia" w:ascii="方正仿宋_GBK" w:hAnsi="方正仿宋_GBK" w:eastAsia="方正仿宋_GBK" w:cs="方正仿宋_GBK"/>
          <w:bCs/>
          <w:sz w:val="28"/>
          <w:szCs w:val="28"/>
        </w:rPr>
        <w:t>）退审图中包括的所有设备。</w:t>
      </w:r>
    </w:p>
    <w:p>
      <w:pPr>
        <w:widowControl/>
        <w:spacing w:line="460" w:lineRule="exact"/>
        <w:jc w:val="left"/>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特别说明：1、</w:t>
      </w:r>
      <w:r>
        <w:rPr>
          <w:rFonts w:hint="eastAsia" w:ascii="方正仿宋_GBK" w:hAnsi="方正仿宋_GBK" w:eastAsia="方正仿宋_GBK" w:cs="方正仿宋_GBK"/>
          <w:bCs/>
          <w:sz w:val="28"/>
          <w:szCs w:val="28"/>
        </w:rPr>
        <w:t>设备安装、调试、交验（含：设备底座小于300kg制作安装，大于300kg设备底座由船体制作</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轮机定位</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船体焊接）,含：1.5m³（含1.5m³）以下箱柜由轮机制作安装，1.5m³以上的箱柜由船体制作焊接密性，轮机定位安装附件。</w:t>
      </w:r>
    </w:p>
    <w:p>
      <w:pPr>
        <w:widowControl/>
        <w:spacing w:line="460" w:lineRule="exact"/>
        <w:ind w:firstLine="1260" w:firstLineChars="45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2、以上设备的安装均含各种附件的安装、调试。</w:t>
      </w:r>
    </w:p>
    <w:p>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pStyle w:val="11"/>
        <w:spacing w:line="480" w:lineRule="exact"/>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3竞标一览报价表。</w:t>
      </w:r>
      <w:bookmarkStart w:id="1" w:name="OLE_LINK19"/>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bl>
      <w:tblPr>
        <w:tblStyle w:val="16"/>
        <w:tblW w:w="8379" w:type="dxa"/>
        <w:tblInd w:w="0" w:type="dxa"/>
        <w:tblLayout w:type="fixed"/>
        <w:tblCellMar>
          <w:top w:w="15" w:type="dxa"/>
          <w:left w:w="15" w:type="dxa"/>
          <w:bottom w:w="15" w:type="dxa"/>
          <w:right w:w="15" w:type="dxa"/>
        </w:tblCellMar>
      </w:tblPr>
      <w:tblGrid>
        <w:gridCol w:w="240"/>
        <w:gridCol w:w="1560"/>
        <w:gridCol w:w="342"/>
        <w:gridCol w:w="3260"/>
        <w:gridCol w:w="2977"/>
      </w:tblGrid>
      <w:tr>
        <w:tblPrEx>
          <w:tblLayout w:type="fixed"/>
          <w:tblCellMar>
            <w:top w:w="15" w:type="dxa"/>
            <w:left w:w="15" w:type="dxa"/>
            <w:bottom w:w="15" w:type="dxa"/>
            <w:right w:w="15" w:type="dxa"/>
          </w:tblCellMar>
        </w:tblPrEx>
        <w:trPr>
          <w:gridAfter w:val="4"/>
          <w:wAfter w:w="8139" w:type="dxa"/>
          <w:trHeight w:val="285" w:hRule="atLeast"/>
        </w:trPr>
        <w:tc>
          <w:tcPr>
            <w:tcW w:w="240" w:type="dxa"/>
            <w:shd w:val="clear" w:color="auto" w:fill="auto"/>
            <w:vAlign w:val="center"/>
          </w:tcPr>
          <w:p>
            <w:pPr>
              <w:widowControl/>
              <w:jc w:val="center"/>
              <w:textAlignment w:val="center"/>
              <w:rPr>
                <w:rFonts w:ascii="方正仿宋_GBK" w:hAnsi="方正仿宋_GBK" w:eastAsia="方正仿宋_GBK" w:cs="方正仿宋_GBK"/>
                <w:color w:val="000000" w:themeColor="text1"/>
                <w:kern w:val="0"/>
                <w:sz w:val="28"/>
                <w:szCs w:val="28"/>
                <w:lang w:bidi="ar"/>
                <w14:textFill>
                  <w14:solidFill>
                    <w14:schemeClr w14:val="tx1"/>
                  </w14:solidFill>
                </w14:textFill>
              </w:rPr>
            </w:pPr>
          </w:p>
        </w:tc>
      </w:tr>
      <w:tr>
        <w:tblPrEx>
          <w:tblLayout w:type="fixed"/>
          <w:tblCellMar>
            <w:top w:w="15" w:type="dxa"/>
            <w:left w:w="15" w:type="dxa"/>
            <w:bottom w:w="15" w:type="dxa"/>
            <w:right w:w="15" w:type="dxa"/>
          </w:tblCellMar>
        </w:tblPrEx>
        <w:trPr>
          <w:gridAfter w:val="4"/>
          <w:wAfter w:w="8139" w:type="dxa"/>
          <w:trHeight w:val="339" w:hRule="atLeast"/>
        </w:trPr>
        <w:tc>
          <w:tcPr>
            <w:tcW w:w="240" w:type="dxa"/>
            <w:shd w:val="clear" w:color="auto" w:fill="auto"/>
            <w:vAlign w:val="center"/>
          </w:tcPr>
          <w:p>
            <w:pPr>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Layout w:type="fixed"/>
          <w:tblCellMar>
            <w:top w:w="15" w:type="dxa"/>
            <w:left w:w="15" w:type="dxa"/>
            <w:bottom w:w="15" w:type="dxa"/>
            <w:right w:w="15" w:type="dxa"/>
          </w:tblCellMar>
        </w:tblPrEx>
        <w:trPr>
          <w:gridAfter w:val="3"/>
          <w:wAfter w:w="6579" w:type="dxa"/>
          <w:trHeight w:val="294" w:hRule="atLeast"/>
        </w:trPr>
        <w:tc>
          <w:tcPr>
            <w:tcW w:w="1800" w:type="dxa"/>
            <w:gridSpan w:val="2"/>
            <w:shd w:val="clear" w:color="auto" w:fill="auto"/>
            <w:vAlign w:val="center"/>
          </w:tcPr>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Layout w:type="fixed"/>
          <w:tblCellMar>
            <w:top w:w="15" w:type="dxa"/>
            <w:left w:w="15" w:type="dxa"/>
            <w:bottom w:w="15" w:type="dxa"/>
            <w:right w:w="15" w:type="dxa"/>
          </w:tblCellMar>
        </w:tblPrEx>
        <w:trPr>
          <w:trHeight w:val="285" w:hRule="atLeast"/>
        </w:trPr>
        <w:tc>
          <w:tcPr>
            <w:tcW w:w="214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w:t>
            </w:r>
          </w:p>
        </w:tc>
        <w:tc>
          <w:tcPr>
            <w:tcW w:w="6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轮机安装劳务工程</w:t>
            </w:r>
          </w:p>
        </w:tc>
      </w:tr>
      <w:tr>
        <w:tblPrEx>
          <w:tblLayout w:type="fixed"/>
          <w:tblCellMar>
            <w:top w:w="15" w:type="dxa"/>
            <w:left w:w="15" w:type="dxa"/>
            <w:bottom w:w="15" w:type="dxa"/>
            <w:right w:w="15" w:type="dxa"/>
          </w:tblCellMar>
        </w:tblPrEx>
        <w:trPr>
          <w:trHeight w:val="285" w:hRule="atLeast"/>
        </w:trPr>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kern w:val="0"/>
                <w:sz w:val="28"/>
                <w:szCs w:val="28"/>
                <w:lang w:bidi="ar"/>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单艘</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150"/>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金额（元）</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备    注</w:t>
            </w:r>
          </w:p>
        </w:tc>
      </w:tr>
      <w:tr>
        <w:tblPrEx>
          <w:tblLayout w:type="fixed"/>
          <w:tblCellMar>
            <w:top w:w="15" w:type="dxa"/>
            <w:left w:w="15" w:type="dxa"/>
            <w:bottom w:w="15" w:type="dxa"/>
            <w:right w:w="15" w:type="dxa"/>
          </w:tblCellMar>
        </w:tblPrEx>
        <w:trPr>
          <w:trHeight w:val="542" w:hRule="atLeast"/>
        </w:trPr>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bidi="ar"/>
                <w14:textFill>
                  <w14:solidFill>
                    <w14:schemeClr w14:val="tx1"/>
                  </w14:solidFill>
                </w14:textFill>
              </w:rPr>
              <w:t xml:space="preserve"> </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含税3%</w:t>
            </w:r>
          </w:p>
        </w:tc>
      </w:tr>
    </w:tbl>
    <w:p>
      <w:pPr>
        <w:pStyle w:val="11"/>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                                   法定代表人授权代表：</w:t>
      </w:r>
    </w:p>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（投标人公章）                            （签字或盖章）</w:t>
      </w:r>
    </w:p>
    <w:bookmarkEnd w:id="1"/>
    <w:p>
      <w:pPr>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bookmarkStart w:id="2" w:name="OLE_LINK6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说明：</w:t>
      </w: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1.竞标一览表按格式填写；并标明增值税专用税率，2.竞标一览表务必填写清楚，准确无误；</w:t>
      </w:r>
    </w:p>
    <w:bookmarkEnd w:id="2"/>
    <w:p>
      <w:pPr>
        <w:rPr>
          <w:rFonts w:ascii="方正仿宋_GBK" w:hAnsi="方正仿宋_GBK" w:eastAsia="方正仿宋_GBK" w:cs="方正仿宋_GBK"/>
          <w:color w:val="000000" w:themeColor="text1"/>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四、竞标文件的编制</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1.1、竞标文件的语言</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比选文件及竞标单位与比选人之间与竞标有关的往来通知、函件和文件均应使用中文。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竞标单位的竞标文件应包括以下内容</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法定代表人资格证明书</w:t>
      </w:r>
    </w:p>
    <w:p>
      <w:pPr>
        <w:spacing w:line="360" w:lineRule="auto"/>
        <w:ind w:firstLine="57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授权委托书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按本须知规定需提交的其他资料（响应）</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1.3、竞标有效期</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竞标文件在竞标截止日期之后的60天内有效。</w:t>
      </w:r>
    </w:p>
    <w:p>
      <w:pPr>
        <w:spacing w:line="360" w:lineRule="auto"/>
        <w:ind w:firstLine="560" w:firstLineChars="20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在原定竞标有效期满之前，如出现特殊情况，经比选人上级主管部门核准，比选人可以书面形式向竞标单位提出延长竞标有效期的要求。竞标单位需以书面形式予以答复。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1.4、勘查现场</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1.4.1 比选人不统一组织现场勘察。竞标单位应认真阅读施工图纸，并根据自身需要决定是否自行勘查现场，所发生的一切费用由竞标单位承担。</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1.4.2  比选人向竞标单位提供的施工图纸，是比选人现有的能使竞标单位利用的资料。比选人对竞标单位由此而做出的推论、理解和结论概不负责。</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1.5、竞标文件的份数和签署</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  竞标单位按本须知第6条的规定，编制一份竞标文件</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竞标文件采用A4纸张装订。</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  竞标文件正本应使用不能擦去的墨水打印或书写，编制连续页码，并由填表单位的法定代表人或授权委托人亲自签署并加盖法人单位公章和法定代表人或授权委托人印鉴。</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1.5.3  全套竞标文件应无涂改和行间插字，除非这些删改是根据比选人的要求进行的，或是竞标单位造成的必须修改的错误。但修改处应由竞标文件签字人签字证明并加盖印鉴。</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五、竞标文件的递交</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1.1、竞标文件的密封与标志</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竞标单位应将竞标文件的密封。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1.1.包封都应写明竞标人名称和地址、工程名称及合同段、招标编号，并注明开标时间之前不得开封。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如果包封没有按上述规定密封并加写标志，比选人将不承担竞标文件错放或提前开封的责任，由此造成的提前开封的竞标文件将予以拒绝，并退还给竞标单位。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竞标文件递交至前附表诉述的单位和地址。</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1.2、竞标截止期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竞标单位应按前附表规定的日期和时间之前将竞标文件递交给比选人。</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比选人可以按本须知第1.3.2条规定以补遗通知的方式，酌情延长递交竞标文件的截止日期。在上述情况下，比选人与竞标单位以前在竞标截止期方面的全部权利、责任和义务，将适用于延长后新的竞标截止期。</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1.3、竞标文件的修改与撤回</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竞标单位可以在递交竞标文件后，在规定的竞标截止日期之前，以书面形式向比选人递交修改或撤回其竞标文件的申请。在竞标文件截止时间以后，不能更改竞标文件。</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竞标文件的修改或撤回申请，应按本须知第1.1.1条规定编制、密封、标志和递交。</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1.3.3  在竞标截止日期与竞标文件规定的有效期终止日之间的这段时间内，竞标单位不能撤回竞标文件。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六、开标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1.1、开标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比选人将于前附表规定的时间和地点举行开标会议，参加竞标的竞标单位代表应签名报到，以证明其出席开标会议。有效投标单位不足三家不能开标，作流标处理，比选人将按程序重新组织招标。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开标会议由比选人的招标委员会（或评审小组）组织并主持。对竞标文件进行检查，确定它们是否完整，文件签署是否正确，以及是否按顺序编制。但按规定提交合格撤回申请的竞标文件不予开封。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竞标单位法定代表人或授权代表未参加开标会议的视为自动弃权（网上投递投标资料的除外）。</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竞标单位有下列情况之一者将视为竞标无效。</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竞标文件未按规定标志、密封。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未经法定代表人或授权委托人签署或未盖竞标单位公章或未盖法定代表人或授权委托人印鉴。</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未按规定的格式填写，内容不全或字迹模糊辨认不清。</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1.2.3  竞标截止时间以后送达的竞标文件。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七、评标</w:t>
      </w:r>
    </w:p>
    <w:p>
      <w:pPr>
        <w:spacing w:line="360" w:lineRule="auto"/>
        <w:ind w:firstLine="411" w:firstLineChars="147"/>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评审专家及评审小组的组成：</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在公司专家库随意抽取</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bCs/>
          <w:color w:val="000000" w:themeColor="text1"/>
          <w:sz w:val="28"/>
          <w:szCs w:val="28"/>
          <w14:textFill>
            <w14:solidFill>
              <w14:schemeClr w14:val="tx1"/>
            </w14:solidFill>
          </w14:textFill>
        </w:rPr>
        <w:t>成立评审小组</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sz w:val="28"/>
        </w:rPr>
        <w:t>组长由五位评委中推荐一名</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1.1、评标内容的保密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公开开标后，直到宣布授予中标单位合同为止，凡属于审查、澄清、评价和比较竞标的所有资料，有关授予合同的信息，都不应向竞标单位或与评标无关的其他人泄露。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在竞标文件的审查、澄清、评价和比较以及授予合同的过程中，竞标单位对比选人和评标专家小组成员施加影响的任何行为，都将导致其被取消竞标资格。</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1.2、竞标文件的澄清</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为了有助于竞标文件的审查、评价和比较，评审专家小组可以个别地要求竞标单位澄清其竞标文件。有关澄清的要求与答复，应以书面形式进行，但不允许更改竞标报价或竞标的实质性内容。</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1.3、竞标文件的符合性鉴定</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在详细评标之前。评审专家小组将首先审定每份竞标文件是否在实质上响应了竞标文件的要求。</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就本条款而言，实质上响应要求的竞标文件，应该与比选文件的所有规定要求、条件、条款和规范相符，无显著差异或保留。所谓显著差异或保留是指对工程的发包范围、质量标准及运用产生实质性影响；或者对合同中规定的竞标人的权力及竞标单位的责任造成实质性限制；而且纠正这种差异或保留，将会对其他实质上响应要求的竞标单位的竞争地位产生不公正影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 、如果竞标文件在实质上不响应比选文件的要求，比选人将予以拒绝，并且不允许通过修正或撤销其不符合要求的差异或保留，使之成为具有响应性的竞标。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1.5、竞标文件的评价与比较</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1.5.1在评价与比较时应通过对竞标单位的竞标报价、工期、质量标准、施工方案或施工组织设计、社会信誉及以往业绩等综合评价。</w:t>
      </w:r>
    </w:p>
    <w:p>
      <w:pPr>
        <w:pStyle w:val="6"/>
        <w:spacing w:line="360" w:lineRule="auto"/>
        <w:ind w:firstLine="570"/>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本次评选采用综合评分法；评审委员在开标当天对各竞标单位的竞标文件进行评审，所有评审专家对竞标单位打分的算数平均值（取两位小数）为竞标单位的最终得分。最后按得分由高到低的顺序进行排名，由比选人根据竞标文件进行综合评估和决策，以确定最终中选人。</w:t>
      </w:r>
      <w:r>
        <w:rPr>
          <w:rFonts w:hint="eastAsia" w:ascii="方正仿宋_GBK" w:hAnsi="方正仿宋_GBK" w:eastAsia="方正仿宋_GBK" w:cs="方正仿宋_GBK"/>
          <w:color w:val="000000" w:themeColor="text1"/>
          <w:sz w:val="28"/>
          <w:szCs w:val="28"/>
          <w14:textFill>
            <w14:solidFill>
              <w14:schemeClr w14:val="tx1"/>
            </w14:solidFill>
          </w14:textFill>
        </w:rPr>
        <w:t>分相同的情况，则由评标专家投票表决从中确定中标候选人。</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八、授予合同</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确定出中标单位后在竞标有效期截止前，比选人将</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在集团网上以《中标公告》的形式发布</w:t>
      </w:r>
      <w:r>
        <w:rPr>
          <w:rFonts w:hint="eastAsia" w:ascii="方正仿宋_GBK" w:hAnsi="方正仿宋_GBK" w:eastAsia="方正仿宋_GBK" w:cs="方正仿宋_GBK"/>
          <w:bCs/>
          <w:color w:val="000000" w:themeColor="text1"/>
          <w:sz w:val="28"/>
          <w:szCs w:val="28"/>
          <w14:textFill>
            <w14:solidFill>
              <w14:schemeClr w14:val="tx1"/>
            </w14:solidFill>
          </w14:textFill>
        </w:rPr>
        <w:t>。在该</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中给出比选人对中标单位按本合同施工、竣工和保修工程的中标标价，以及工期、质量和有关合同签订的日期。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中标</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为合同的组成部分。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比选人及时将未中标的结果通知其他竞标单位。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1.1.4  中标结果在重轮集团网站公示，时间为3天。 </w:t>
      </w:r>
    </w:p>
    <w:p>
      <w:pPr>
        <w:pStyle w:val="12"/>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p>
    <w:p>
      <w:pPr>
        <w:pStyle w:val="12"/>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p>
    <w:p>
      <w:pPr>
        <w:pStyle w:val="12"/>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p>
    <w:p>
      <w:pPr>
        <w:pStyle w:val="12"/>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p>
    <w:p>
      <w:pPr>
        <w:pStyle w:val="12"/>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t>中标公告（样表）</w:t>
      </w:r>
    </w:p>
    <w:p>
      <w:pPr>
        <w:pStyle w:val="12"/>
        <w:widowControl/>
        <w:spacing w:beforeAutospacing="0" w:afterAutospacing="0" w:line="360" w:lineRule="auto"/>
        <w:ind w:left="880" w:leftChars="419" w:firstLine="1928" w:firstLineChars="600"/>
        <w:jc w:val="both"/>
        <w:rPr>
          <w:rFonts w:hint="eastAsia" w:ascii="方正小标宋_GBK" w:hAnsi="方正小标宋_GBK" w:eastAsia="方正小标宋_GBK" w:cs="方正小标宋_GBK"/>
          <w:b/>
          <w:bCs/>
          <w:sz w:val="32"/>
          <w:szCs w:val="32"/>
        </w:rPr>
      </w:pPr>
      <w:bookmarkStart w:id="3" w:name="OLE_LINK3"/>
      <w:bookmarkStart w:id="4" w:name="OLE_LINK4"/>
      <w:r>
        <w:rPr>
          <w:rFonts w:hint="eastAsia" w:ascii="方正小标宋_GBK" w:hAnsi="方正小标宋_GBK" w:eastAsia="方正小标宋_GBK" w:cs="方正小标宋_GBK"/>
          <w:b/>
          <w:bCs/>
          <w:sz w:val="32"/>
          <w:szCs w:val="32"/>
        </w:rPr>
        <w:t>重庆中江船业有限公司</w:t>
      </w:r>
    </w:p>
    <w:p>
      <w:pPr>
        <w:pStyle w:val="12"/>
        <w:widowControl/>
        <w:spacing w:beforeAutospacing="0" w:afterAutospacing="0" w:line="360" w:lineRule="auto"/>
        <w:ind w:firstLine="1606" w:firstLineChars="500"/>
        <w:jc w:val="both"/>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b/>
          <w:bCs/>
          <w:sz w:val="32"/>
          <w:szCs w:val="32"/>
        </w:rPr>
        <w:t>关于</w:t>
      </w:r>
      <w:r>
        <w:rPr>
          <w:rFonts w:hint="eastAsia" w:ascii="方正小标宋_GBK" w:hAnsi="方正小标宋_GBK" w:eastAsia="方正小标宋_GBK" w:cs="方正小标宋_GBK"/>
          <w:b/>
          <w:bCs/>
          <w:color w:val="000000" w:themeColor="text1"/>
          <w:sz w:val="32"/>
          <w:szCs w:val="32"/>
          <w:lang w:val="en-US" w:eastAsia="zh-CN"/>
          <w14:textFill>
            <w14:solidFill>
              <w14:schemeClr w14:val="tx1"/>
            </w14:solidFill>
          </w14:textFill>
        </w:rPr>
        <w:t>XXXXX</w:t>
      </w:r>
      <w:r>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t>船电气安装劳务工程</w:t>
      </w:r>
    </w:p>
    <w:p>
      <w:pPr>
        <w:pStyle w:val="12"/>
        <w:widowControl/>
        <w:spacing w:beforeAutospacing="0" w:afterAutospacing="0" w:line="360" w:lineRule="auto"/>
        <w:ind w:firstLine="3534" w:firstLineChars="11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中标公告</w:t>
      </w:r>
    </w:p>
    <w:p>
      <w:pPr>
        <w:spacing w:line="460" w:lineRule="exact"/>
        <w:jc w:val="center"/>
        <w:rPr>
          <w:rFonts w:ascii="方正小标宋_GBK" w:hAnsi="宋体" w:eastAsia="方正小标宋_GBK" w:cs="仿宋_GB2312"/>
          <w:bCs/>
          <w:sz w:val="32"/>
          <w:szCs w:val="32"/>
        </w:rPr>
      </w:pPr>
    </w:p>
    <w:p>
      <w:pPr>
        <w:pStyle w:val="12"/>
        <w:widowControl/>
        <w:spacing w:beforeAutospacing="0" w:afterAutospacing="0" w:line="360" w:lineRule="auto"/>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重庆中江船业有限公司新建</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船(工号</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安装劳务工程竞</w:t>
      </w:r>
      <w:r>
        <w:rPr>
          <w:rFonts w:hint="eastAsia" w:ascii="方正仿宋_GBK" w:hAnsi="方正仿宋_GBK" w:eastAsia="方正仿宋_GBK" w:cs="方正仿宋_GBK"/>
          <w:sz w:val="28"/>
          <w:szCs w:val="28"/>
          <w:lang w:val="en-US" w:eastAsia="zh-CN"/>
        </w:rPr>
        <w:t>争性比选，评标工作已经结束，现通告如下：</w:t>
      </w:r>
    </w:p>
    <w:p>
      <w:pPr>
        <w:pStyle w:val="12"/>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项目信息</w:t>
      </w:r>
    </w:p>
    <w:p>
      <w:pPr>
        <w:pStyle w:val="12"/>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项目名称</w:t>
      </w:r>
      <w:bookmarkStart w:id="5" w:name="OLE_LINK2"/>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安装劳务工程</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项目联系人： 张云          电话号码：023</w:t>
      </w:r>
      <w:bookmarkEnd w:id="5"/>
      <w:r>
        <w:rPr>
          <w:rFonts w:hint="eastAsia" w:ascii="方正仿宋_GBK" w:hAnsi="方正仿宋_GBK" w:eastAsia="方正仿宋_GBK" w:cs="方正仿宋_GBK"/>
          <w:sz w:val="28"/>
          <w:szCs w:val="28"/>
          <w:lang w:val="en-US" w:eastAsia="zh-CN"/>
        </w:rPr>
        <w:t>-85696016</w:t>
      </w:r>
    </w:p>
    <w:p>
      <w:pPr>
        <w:pStyle w:val="12"/>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比选单位信息</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比选单位名称：重庆中江船业有限公司</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比选单位地址：重庆市涪陵区珍溪镇中江路1号</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比选单位联系方式： 张云       023-85696017</w:t>
      </w:r>
    </w:p>
    <w:p>
      <w:pPr>
        <w:pStyle w:val="12"/>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招标公告时间：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2"/>
        <w:widowControl/>
        <w:numPr>
          <w:ilvl w:val="0"/>
          <w:numId w:val="4"/>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评审时间：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2"/>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五、</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工程</w:t>
      </w:r>
      <w:r>
        <w:rPr>
          <w:rFonts w:hint="eastAsia" w:ascii="方正仿宋_GBK" w:hAnsi="方正仿宋_GBK" w:eastAsia="方正仿宋_GBK" w:cs="方正仿宋_GBK"/>
          <w:sz w:val="28"/>
          <w:szCs w:val="28"/>
          <w:lang w:val="en-US" w:eastAsia="zh-CN"/>
        </w:rPr>
        <w:t>拟中标单位名称</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六、其他补充事宜</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本比选公告日期：</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月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日至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日止；</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投诉事宜：各参加投标单位对上述比选公告如有异议，请在公示期截止时间起3个工作日内以书面形式由法定代表人或授权代表签字并加盖单位公章，并附相关有效证明材料，向我司或重轮集团职能部门反映。</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联系方式：重轮集团纪检监察室         023-89030773</w:t>
      </w:r>
    </w:p>
    <w:p>
      <w:pPr>
        <w:pStyle w:val="12"/>
        <w:widowControl/>
        <w:numPr>
          <w:ilvl w:val="0"/>
          <w:numId w:val="0"/>
        </w:numPr>
        <w:spacing w:beforeAutospacing="0" w:afterAutospacing="0"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重轮集团资产管理部         023-89030759</w:t>
      </w:r>
      <w:bookmarkEnd w:id="3"/>
    </w:p>
    <w:bookmarkEnd w:id="4"/>
    <w:p>
      <w:pPr>
        <w:pStyle w:val="12"/>
        <w:widowControl/>
        <w:spacing w:beforeAutospacing="0" w:afterAutospacing="0" w:line="360" w:lineRule="auto"/>
        <w:ind w:firstLine="6860" w:firstLineChars="2450"/>
        <w:rPr>
          <w:rFonts w:hint="eastAsia" w:ascii="方正仿宋_GBK" w:hAnsi="方正仿宋_GBK" w:eastAsia="方正仿宋_GBK" w:cs="方正仿宋_GBK"/>
          <w:bCs/>
          <w:color w:val="000000" w:themeColor="text1"/>
          <w:kern w:val="2"/>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1.2、合同协议书的签署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中标单位应按照中标通知书中规定的日期、时间和地点，由法定代表人或授权代表前往与建设单位代表签订合同，同时按中标金额的</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%缴纳履约保证金（</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中标人第一期工程款中扣除</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ind w:firstLine="57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1.2.2  如果中标单位不按本须知第1.2.1条规定执行，比选人将有充分理由废除授标，另选中标单位。 </w:t>
      </w: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rPr>
          <w:rFonts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ind w:firstLine="2891" w:firstLineChars="900"/>
        <w:jc w:val="both"/>
        <w:rPr>
          <w:rFonts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第三章 工程内容及界面</w:t>
      </w:r>
    </w:p>
    <w:p>
      <w:pPr>
        <w:spacing w:line="460" w:lineRule="exact"/>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一、施工依据、工程界面</w:t>
      </w:r>
    </w:p>
    <w:p>
      <w:pPr>
        <w:spacing w:line="460" w:lineRule="exact"/>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 1.</w:t>
      </w:r>
      <w:r>
        <w:rPr>
          <w:rFonts w:hint="eastAsia" w:ascii="方正仿宋_GBK" w:hAnsi="方正仿宋_GBK" w:eastAsia="方正仿宋_GBK" w:cs="方正仿宋_GBK"/>
          <w:b/>
          <w:color w:val="000000" w:themeColor="text1"/>
          <w:sz w:val="28"/>
          <w:szCs w:val="28"/>
          <w14:textFill>
            <w14:solidFill>
              <w14:schemeClr w14:val="tx1"/>
            </w14:solidFill>
          </w14:textFill>
        </w:rPr>
        <w:t>施工依据（图纸）：</w:t>
      </w:r>
    </w:p>
    <w:tbl>
      <w:tblPr>
        <w:tblStyle w:val="16"/>
        <w:tblW w:w="8318"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54"/>
        <w:gridCol w:w="766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13" w:hRule="atLeast"/>
          <w:jc w:val="center"/>
        </w:trPr>
        <w:tc>
          <w:tcPr>
            <w:tcW w:w="654" w:type="dxa"/>
            <w:vAlign w:val="center"/>
          </w:tcPr>
          <w:p>
            <w:pP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w:t>
            </w:r>
          </w:p>
        </w:tc>
        <w:tc>
          <w:tcPr>
            <w:tcW w:w="7664" w:type="dxa"/>
            <w:vAlign w:val="center"/>
          </w:tcPr>
          <w:p>
            <w:pP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船厂编制的施工工艺 。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jc w:val="center"/>
        </w:trPr>
        <w:tc>
          <w:tcPr>
            <w:tcW w:w="654" w:type="dxa"/>
            <w:vAlign w:val="center"/>
          </w:tcPr>
          <w:p>
            <w:pPr>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p>
        </w:tc>
        <w:tc>
          <w:tcPr>
            <w:tcW w:w="7664" w:type="dxa"/>
            <w:vAlign w:val="center"/>
          </w:tcPr>
          <w:p>
            <w:pPr>
              <w:spacing w:line="460" w:lineRule="exact"/>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bCs/>
                <w:color w:val="000000" w:themeColor="text1"/>
                <w:sz w:val="28"/>
                <w:szCs w:val="28"/>
                <w14:textFill>
                  <w14:solidFill>
                    <w14:schemeClr w14:val="tx1"/>
                  </w14:solidFill>
                </w14:textFill>
              </w:rPr>
              <w:t>船退审图</w:t>
            </w:r>
          </w:p>
        </w:tc>
      </w:tr>
    </w:tbl>
    <w:p>
      <w:pPr>
        <w:spacing w:line="460" w:lineRule="exact"/>
        <w:ind w:firstLine="140" w:firstLineChars="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2</w:t>
      </w:r>
      <w:r>
        <w:rPr>
          <w:rFonts w:hint="eastAsia" w:ascii="方正仿宋_GBK" w:hAnsi="方正仿宋_GBK" w:eastAsia="方正仿宋_GBK" w:cs="方正仿宋_GBK"/>
          <w:b/>
          <w:color w:val="000000" w:themeColor="text1"/>
          <w:sz w:val="28"/>
          <w:szCs w:val="28"/>
          <w14:textFill>
            <w14:solidFill>
              <w14:schemeClr w14:val="tx1"/>
            </w14:solidFill>
          </w14:textFill>
        </w:rPr>
        <w:t>.工程界面</w:t>
      </w:r>
      <w:bookmarkStart w:id="6" w:name="_Toc17121"/>
      <w:bookmarkStart w:id="7" w:name="_Toc18196"/>
      <w:bookmarkStart w:id="8" w:name="_Toc17614"/>
      <w:bookmarkStart w:id="9" w:name="_Toc6068"/>
      <w:bookmarkStart w:id="10" w:name="_Toc14347"/>
      <w:bookmarkStart w:id="11" w:name="_Toc15639"/>
      <w:bookmarkStart w:id="12" w:name="_Toc32121"/>
      <w:bookmarkStart w:id="13" w:name="_Toc19853"/>
    </w:p>
    <w:p>
      <w:pPr>
        <w:widowControl/>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轮机设备安装：</w:t>
      </w:r>
    </w:p>
    <w:p>
      <w:pPr>
        <w:widowControl/>
        <w:numPr>
          <w:ilvl w:val="0"/>
          <w:numId w:val="0"/>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val="en-US" w:eastAsia="zh-CN"/>
        </w:rPr>
        <w:t>(1)</w:t>
      </w:r>
      <w:r>
        <w:rPr>
          <w:rFonts w:hint="eastAsia" w:ascii="方正仿宋_GBK" w:hAnsi="方正仿宋_GBK" w:eastAsia="方正仿宋_GBK" w:cs="方正仿宋_GBK"/>
          <w:bCs/>
          <w:sz w:val="28"/>
          <w:szCs w:val="28"/>
        </w:rPr>
        <w:t>主推进系统（柴油机、齿轮箱、高弹联轴器、GVU阀箱）；（2）发电机组（机组、GVU阀箱）；（3）压缩空气系统（空压机、主空气瓶、汽笛缓冲气瓶、杂用气瓶、控制空气瓶、汽笛）；（4） 燃油系统（燃油泵、手摇泵、启动快关阀箱）；（5）滑油系统（齿轮箱滑油备用泵、尾轴油和污滑油手摇泵、滑油分离机）；（6）消防、舱底水系统（舱底泵、消防泵、喷射泵、水雾泵、应急消防泵、C02灭火装置）；（7）日用水系统（储罐式电热水器、淡水泵、净水器、净水器源水泵、管道增压泵）；（8）防污染系统（污油水泵、污油泵、生活污水泵组）；（9）甲板机械（锚机、艉绞）；（10）轴舵系（尾轴、艉管、中间轴、可拆联轴节、车叶、轴系刹车装置、中间轴承、舵机、舵叶）；（11）侧推装置；（12）LNG大型设备定位；（13）全船管系安装</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LNG系统管系除外</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；（14）机修工具；（15）通风系统（机舱风机、侧推舱风机、CO2间风机、电瓶间风机、厨房风机、舵机舱风机）（16）火星熄灭装置；（17）压载管系液压系统；</w:t>
      </w:r>
      <w:r>
        <w:rPr>
          <w:rFonts w:hint="eastAsia" w:ascii="方正仿宋_GBK" w:hAnsi="方正仿宋_GBK" w:eastAsia="方正仿宋_GBK" w:cs="方正仿宋_GBK"/>
          <w:bCs/>
          <w:sz w:val="28"/>
          <w:szCs w:val="28"/>
          <w:lang w:val="en-US" w:eastAsia="zh-CN"/>
        </w:rPr>
        <w:t>(18)油箱、油柜液位计安装；（19）全船喷淋系统安装；</w:t>
      </w:r>
      <w:r>
        <w:rPr>
          <w:rFonts w:hint="eastAsia" w:ascii="方正仿宋_GBK" w:hAnsi="方正仿宋_GBK" w:eastAsia="方正仿宋_GBK" w:cs="方正仿宋_GBK"/>
          <w:bCs/>
          <w:sz w:val="28"/>
          <w:szCs w:val="28"/>
        </w:rPr>
        <w:t>（1</w:t>
      </w:r>
      <w:r>
        <w:rPr>
          <w:rFonts w:hint="eastAsia" w:ascii="方正仿宋_GBK" w:hAnsi="方正仿宋_GBK" w:eastAsia="方正仿宋_GBK" w:cs="方正仿宋_GBK"/>
          <w:bCs/>
          <w:sz w:val="28"/>
          <w:szCs w:val="28"/>
          <w:lang w:val="en-US" w:eastAsia="zh-CN"/>
        </w:rPr>
        <w:t>9</w:t>
      </w:r>
      <w:r>
        <w:rPr>
          <w:rFonts w:hint="eastAsia" w:ascii="方正仿宋_GBK" w:hAnsi="方正仿宋_GBK" w:eastAsia="方正仿宋_GBK" w:cs="方正仿宋_GBK"/>
          <w:bCs/>
          <w:sz w:val="28"/>
          <w:szCs w:val="28"/>
        </w:rPr>
        <w:t>）退审图中包括的所有设备。</w:t>
      </w:r>
    </w:p>
    <w:p>
      <w:pPr>
        <w:widowControl/>
        <w:spacing w:line="460" w:lineRule="exact"/>
        <w:jc w:val="left"/>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特别说明：1、</w:t>
      </w:r>
      <w:r>
        <w:rPr>
          <w:rFonts w:hint="eastAsia" w:ascii="方正仿宋_GBK" w:hAnsi="方正仿宋_GBK" w:eastAsia="方正仿宋_GBK" w:cs="方正仿宋_GBK"/>
          <w:bCs/>
          <w:sz w:val="28"/>
          <w:szCs w:val="28"/>
        </w:rPr>
        <w:t>设备安装、调试、交验（含：设备底座小于300kg制作安装，大于300kg设备底座由船体制作</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轮机定位</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船体焊接）,含：1.5m³（含1.5m³）以下箱柜由轮机制作安装，1.5m³以上的箱柜由船体制作焊接密性，轮机定位安装附件。</w:t>
      </w:r>
    </w:p>
    <w:p>
      <w:pPr>
        <w:widowControl/>
        <w:spacing w:line="460" w:lineRule="exact"/>
        <w:ind w:firstLine="1260" w:firstLineChars="45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2、以上设备的安装均含各种附件的安装、调试。</w:t>
      </w:r>
    </w:p>
    <w:p>
      <w:pPr>
        <w:pStyle w:val="11"/>
        <w:spacing w:line="480" w:lineRule="exact"/>
        <w:ind w:firstLine="0" w:firstLineChars="0"/>
        <w:rPr>
          <w:rFonts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二、本工程工期要求</w:t>
      </w:r>
      <w:r>
        <w:rPr>
          <w:rFonts w:hint="eastAsia" w:ascii="方正仿宋_GBK" w:hAnsi="方正仿宋_GBK" w:eastAsia="方正仿宋_GBK" w:cs="方正仿宋_GBK"/>
          <w:bCs/>
          <w:color w:val="000000" w:themeColor="text1"/>
          <w:sz w:val="28"/>
          <w:szCs w:val="28"/>
          <w14:textFill>
            <w14:solidFill>
              <w14:schemeClr w14:val="tx1"/>
            </w14:solidFill>
          </w14:textFill>
        </w:rPr>
        <w:t>：</w:t>
      </w:r>
      <w:bookmarkEnd w:id="6"/>
      <w:bookmarkEnd w:id="7"/>
      <w:bookmarkEnd w:id="8"/>
      <w:bookmarkEnd w:id="9"/>
      <w:bookmarkEnd w:id="10"/>
      <w:bookmarkEnd w:id="11"/>
      <w:bookmarkEnd w:id="12"/>
      <w:bookmarkEnd w:id="13"/>
    </w:p>
    <w:p>
      <w:pPr>
        <w:pStyle w:val="11"/>
        <w:spacing w:line="480" w:lineRule="exact"/>
        <w:ind w:firstLine="372" w:firstLineChars="133"/>
        <w:rPr>
          <w:rFonts w:ascii="方正仿宋_GBK" w:hAnsi="方正仿宋_GBK" w:eastAsia="方正仿宋_GBK" w:cs="方正仿宋_GBK"/>
          <w:color w:val="000000" w:themeColor="text1"/>
          <w:sz w:val="28"/>
          <w:szCs w:val="28"/>
          <w14:textFill>
            <w14:solidFill>
              <w14:schemeClr w14:val="tx1"/>
            </w14:solidFill>
          </w14:textFill>
        </w:rPr>
      </w:pPr>
      <w:bookmarkStart w:id="14" w:name="OLE_LINK36"/>
      <w:r>
        <w:rPr>
          <w:rFonts w:hint="eastAsia" w:ascii="方正仿宋_GBK" w:hAnsi="方正仿宋_GBK" w:eastAsia="方正仿宋_GBK" w:cs="方正仿宋_GBK"/>
          <w:bCs/>
          <w:color w:val="000000" w:themeColor="text1"/>
          <w:sz w:val="28"/>
          <w:szCs w:val="28"/>
          <w14:textFill>
            <w14:solidFill>
              <w14:schemeClr w14:val="tx1"/>
            </w14:solidFill>
          </w14:textFill>
        </w:rPr>
        <w:t>工程节点：1、按经营部下达的生产任务书根据合同要求编制的时间节点计划施工，</w:t>
      </w:r>
      <w:r>
        <w:rPr>
          <w:rFonts w:hint="eastAsia" w:ascii="方正仿宋_GBK" w:hAnsi="方正仿宋_GBK" w:eastAsia="方正仿宋_GBK" w:cs="方正仿宋_GBK"/>
          <w:color w:val="000000" w:themeColor="text1"/>
          <w:sz w:val="28"/>
          <w:szCs w:val="28"/>
          <w14:textFill>
            <w14:solidFill>
              <w14:schemeClr w14:val="tx1"/>
            </w14:solidFill>
          </w14:textFill>
        </w:rPr>
        <w:t>在202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8"/>
          <w:szCs w:val="28"/>
          <w14:textFill>
            <w14:solidFill>
              <w14:schemeClr w14:val="tx1"/>
            </w14:solidFill>
          </w14:textFill>
        </w:rPr>
        <w:t>完工交船。</w:t>
      </w:r>
    </w:p>
    <w:p>
      <w:pPr>
        <w:tabs>
          <w:tab w:val="left" w:pos="421"/>
        </w:tabs>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但在组织施工过程中，如遇下列情况之一，可顺延工期，并及时办理延期手续：</w:t>
      </w:r>
    </w:p>
    <w:p>
      <w:pPr>
        <w:numPr>
          <w:ilvl w:val="0"/>
          <w:numId w:val="5"/>
        </w:num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因不可抗力被迫停工；</w:t>
      </w:r>
    </w:p>
    <w:p>
      <w:pPr>
        <w:numPr>
          <w:ilvl w:val="0"/>
          <w:numId w:val="5"/>
        </w:num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因业主原因使合同中的甲方变更计划或变更施工图而不能继续施工；</w:t>
      </w:r>
    </w:p>
    <w:p>
      <w:p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3、因业主原因使合同中的甲方不能按期供图、提供本合同约定的材料、设备或其所提供的材料、设备不符合要求，被迫停工或不能顺利施工。</w:t>
      </w:r>
    </w:p>
    <w:p>
      <w:p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4、因总工程其他分包项目的影响不能满足施工进度要求。</w:t>
      </w:r>
    </w:p>
    <w:p>
      <w:pPr>
        <w:spacing w:line="46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根据上述工期要求，竞标人要提供详细要施工进计划，要满足工期节点要求，且科学合理，</w:t>
      </w:r>
      <w:bookmarkStart w:id="15" w:name="_Toc16254"/>
      <w:bookmarkStart w:id="16" w:name="_Toc3994"/>
      <w:bookmarkStart w:id="17" w:name="_Toc8600"/>
      <w:bookmarkStart w:id="18" w:name="_Toc9540"/>
      <w:bookmarkStart w:id="19" w:name="_Toc16541"/>
      <w:bookmarkStart w:id="20" w:name="_Toc6232"/>
      <w:bookmarkStart w:id="21" w:name="_Toc24604"/>
      <w:bookmarkStart w:id="22" w:name="_Toc4002"/>
      <w:bookmarkStart w:id="23" w:name="_Toc7157"/>
      <w:bookmarkStart w:id="24" w:name="_Toc26671"/>
      <w:bookmarkStart w:id="25" w:name="_Toc10483"/>
      <w:r>
        <w:rPr>
          <w:rFonts w:hint="eastAsia" w:ascii="方正仿宋_GBK" w:hAnsi="方正仿宋_GBK" w:eastAsia="方正仿宋_GBK" w:cs="方正仿宋_GBK"/>
          <w:color w:val="000000" w:themeColor="text1"/>
          <w:sz w:val="28"/>
          <w:szCs w:val="28"/>
          <w14:textFill>
            <w14:solidFill>
              <w14:schemeClr w14:val="tx1"/>
            </w14:solidFill>
          </w14:textFill>
        </w:rPr>
        <w:t>对重点，关键节点要有工期保证措施，要对中标后的签订合同的规定时间完工，提出承诺保证。</w:t>
      </w:r>
    </w:p>
    <w:bookmarkEnd w:id="14"/>
    <w:p>
      <w:pPr>
        <w:spacing w:line="46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三、工艺质量要求</w:t>
      </w:r>
      <w:bookmarkEnd w:id="15"/>
      <w:bookmarkEnd w:id="16"/>
      <w:bookmarkEnd w:id="17"/>
      <w:bookmarkEnd w:id="18"/>
      <w:bookmarkEnd w:id="19"/>
      <w:bookmarkEnd w:id="20"/>
      <w:bookmarkEnd w:id="21"/>
      <w:bookmarkEnd w:id="22"/>
      <w:bookmarkEnd w:id="23"/>
      <w:bookmarkEnd w:id="24"/>
      <w:bookmarkEnd w:id="25"/>
    </w:p>
    <w:p>
      <w:pPr>
        <w:spacing w:line="460" w:lineRule="exact"/>
        <w:ind w:firstLine="420" w:firstLineChars="1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本轮的安装要遵照下列（但不限于）规范、规则及行业标准，包括合同签字日期之前生效的规范、规则的任何修改条款。</w:t>
      </w:r>
    </w:p>
    <w:p>
      <w:pPr>
        <w:spacing w:line="460" w:lineRule="exact"/>
        <w:ind w:firstLine="420" w:firstLineChars="1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1、《钢质内河船舶入级规则》(2022)；</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3、《内河船舶法定检验技术规则》2019及2023修改通报；</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4、《船舶应用天然气燃料规范》2024；</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5、《天然气燃料动力船舶法定检验暂行规则》2018；</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6、《材料与焊接规范》2024及2025年第一次变更通告；</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7、《内河绿色船舶规范》2023；</w:t>
      </w:r>
    </w:p>
    <w:p>
      <w:pPr>
        <w:pStyle w:val="11"/>
        <w:spacing w:line="480" w:lineRule="exact"/>
        <w:ind w:firstLine="0" w:firstLineChars="0"/>
        <w:jc w:val="left"/>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四、技术要求</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1、提供保障本项目施工组织设计。</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2、提供施工人员、设备、材料进场数量及时安排计划。</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3、提供各分项工程的施工方案及质量保证措施。</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4、提供夏、雨季施工措施。</w:t>
      </w:r>
    </w:p>
    <w:p>
      <w:pPr>
        <w:spacing w:line="46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5、提供安全生产环保文明施工措施。</w:t>
      </w:r>
    </w:p>
    <w:p>
      <w:pPr>
        <w:spacing w:line="440" w:lineRule="exact"/>
        <w:ind w:firstLine="280" w:firstLineChars="1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6、技术人员及安装工属具要求。</w:t>
      </w:r>
    </w:p>
    <w:p>
      <w:pPr>
        <w:pStyle w:val="6"/>
        <w:spacing w:line="44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6.1 项目经理（技术负责人）1人，承担过2个或2个以上类似及更高规格船舶的项目经理（技术负责人）。</w:t>
      </w:r>
    </w:p>
    <w:p>
      <w:pPr>
        <w:pStyle w:val="6"/>
        <w:spacing w:line="44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6.2有焊工证的技术人员工5人以上；有焊接与切割特种作业证人员10人以上。</w:t>
      </w:r>
    </w:p>
    <w:p>
      <w:pPr>
        <w:spacing w:line="440" w:lineRule="exact"/>
        <w:ind w:firstLine="560" w:firstLineChars="20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6.3拟投入的施工机械设备要能满足施工需要。</w:t>
      </w:r>
    </w:p>
    <w:p>
      <w:pPr>
        <w:pStyle w:val="11"/>
        <w:spacing w:line="440" w:lineRule="exact"/>
        <w:ind w:firstLine="0" w:firstLineChars="0"/>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w:t>
      </w:r>
      <w:bookmarkStart w:id="26" w:name="OLE_LINK14"/>
      <w:r>
        <w:rPr>
          <w:rFonts w:hint="eastAsia" w:ascii="方正仿宋_GBK" w:hAnsi="方正仿宋_GBK" w:eastAsia="方正仿宋_GBK" w:cs="方正仿宋_GBK"/>
          <w:b/>
          <w:color w:val="000000" w:themeColor="text1"/>
          <w:sz w:val="28"/>
          <w:szCs w:val="28"/>
          <w14:textFill>
            <w14:solidFill>
              <w14:schemeClr w14:val="tx1"/>
            </w14:solidFill>
          </w14:textFill>
        </w:rPr>
        <w:t>设备及材料供应</w:t>
      </w:r>
    </w:p>
    <w:p>
      <w:pPr>
        <w:pStyle w:val="11"/>
        <w:spacing w:line="440" w:lineRule="exact"/>
        <w:ind w:firstLine="562"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焊机、场地转运车辆由比选人提供，其余安装工具由中标人自行负责。</w:t>
      </w:r>
    </w:p>
    <w:p>
      <w:pPr>
        <w:tabs>
          <w:tab w:val="center" w:pos="4819"/>
        </w:tabs>
        <w:spacing w:line="44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、售后服务</w:t>
      </w:r>
    </w:p>
    <w:p>
      <w:pPr>
        <w:tabs>
          <w:tab w:val="center" w:pos="4819"/>
        </w:tabs>
        <w:spacing w:line="44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竞标人要有个完整的、固定的售后服务队伍，售后服务承诺：保质期、售后应答响应等；</w:t>
      </w:r>
    </w:p>
    <w:bookmarkEnd w:id="26"/>
    <w:p>
      <w:pPr>
        <w:spacing w:line="44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14:textFill>
            <w14:solidFill>
              <w14:schemeClr w14:val="tx1"/>
            </w14:solidFill>
          </w14:textFill>
        </w:rPr>
        <w:t>、工程量：全船轮机设备和管系安装</w:t>
      </w:r>
    </w:p>
    <w:p>
      <w:pPr>
        <w:spacing w:line="440" w:lineRule="exact"/>
        <w:rPr>
          <w:rFonts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Start w:id="27" w:name="OLE_LINK43"/>
      <w:r>
        <w:rPr>
          <w:rFonts w:hint="eastAsia" w:ascii="方正仿宋_GBK" w:hAnsi="方正仿宋_GBK" w:eastAsia="方正仿宋_GBK" w:cs="方正仿宋_GBK"/>
          <w:b/>
          <w:bCs/>
          <w:color w:val="000000" w:themeColor="text1"/>
          <w:sz w:val="28"/>
          <w:szCs w:val="28"/>
          <w14:textFill>
            <w14:solidFill>
              <w14:schemeClr w14:val="tx1"/>
            </w14:solidFill>
          </w14:textFill>
        </w:rPr>
        <w:t>交验及检验</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竞标人必须</w:t>
      </w:r>
      <w:r>
        <w:rPr>
          <w:rFonts w:hint="eastAsia" w:ascii="方正仿宋_GBK" w:hAnsi="方正仿宋_GBK" w:eastAsia="方正仿宋_GBK" w:cs="方正仿宋_GBK"/>
          <w:bCs/>
          <w:color w:val="000000" w:themeColor="text1"/>
          <w:sz w:val="28"/>
          <w:szCs w:val="28"/>
          <w14:textFill>
            <w14:solidFill>
              <w14:schemeClr w14:val="tx1"/>
            </w14:solidFill>
          </w14:textFill>
        </w:rPr>
        <w:t>按《报检项目表》要求，严格</w:t>
      </w:r>
      <w:r>
        <w:rPr>
          <w:rFonts w:hint="eastAsia" w:ascii="方正仿宋_GBK" w:hAnsi="方正仿宋_GBK" w:eastAsia="方正仿宋_GBK" w:cs="方正仿宋_GBK"/>
          <w:color w:val="000000" w:themeColor="text1"/>
          <w:sz w:val="28"/>
          <w:szCs w:val="28"/>
          <w14:textFill>
            <w14:solidFill>
              <w14:schemeClr w14:val="tx1"/>
            </w14:solidFill>
          </w14:textFill>
        </w:rPr>
        <w:t>遵循</w:t>
      </w:r>
      <w:bookmarkEnd w:id="27"/>
      <w:r>
        <w:rPr>
          <w:rFonts w:hint="eastAsia" w:ascii="方正仿宋_GBK" w:hAnsi="方正仿宋_GBK" w:eastAsia="方正仿宋_GBK" w:cs="方正仿宋_GBK"/>
          <w:color w:val="000000" w:themeColor="text1"/>
          <w:sz w:val="28"/>
          <w:szCs w:val="28"/>
          <w14:textFill>
            <w14:solidFill>
              <w14:schemeClr w14:val="tx1"/>
            </w14:solidFill>
          </w14:textFill>
        </w:rPr>
        <w:t>三级检验制度，即自检、互检和厂检。</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自检：中标人在完成某一项目后，对照施工图进行认真核对，在确认工艺质量无误前提下，以书面形式提交厂检，依此类推。</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互检：项目经自检合格后，交由现场生产主管检验，检验合格后进入下一道程序；</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厂检：项目经互检合格后，交由船厂质技部质量主管检验，并由质量主管联系船检进行交验。</w:t>
      </w:r>
    </w:p>
    <w:p>
      <w:pPr>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各项交验应直至最终通过船东和现场验船师检验同意。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系洎试验；航行试验；中标人应在消除各个检验时发现的缺陷后再进行下一步试验，试验时发现的缺陷应在交船前消除。</w:t>
      </w:r>
    </w:p>
    <w:p>
      <w:pPr>
        <w:spacing w:line="48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pPr>
        <w:spacing w:line="460" w:lineRule="exact"/>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Theme="majorEastAsia" w:hAnsiTheme="majorEastAsia" w:eastAsiaTheme="majorEastAsia"/>
          <w:b/>
          <w:color w:val="000000" w:themeColor="text1"/>
          <w:sz w:val="28"/>
          <w:szCs w:val="28"/>
          <w14:textFill>
            <w14:solidFill>
              <w14:schemeClr w14:val="tx1"/>
            </w14:solidFill>
          </w14:textFill>
        </w:rPr>
      </w:pPr>
    </w:p>
    <w:p>
      <w:pPr>
        <w:spacing w:line="460" w:lineRule="exact"/>
        <w:jc w:val="center"/>
        <w:rPr>
          <w:rFonts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第四章  合同格式（样稿）</w:t>
      </w:r>
    </w:p>
    <w:p>
      <w:pPr>
        <w:spacing w:line="460" w:lineRule="exact"/>
        <w:jc w:val="center"/>
        <w:rPr>
          <w:rFonts w:ascii="方正仿宋_GBK" w:hAnsi="方正仿宋_GBK" w:eastAsia="方正仿宋_GBK" w:cs="方正仿宋_GBK"/>
          <w:color w:val="000000" w:themeColor="text1"/>
          <w:sz w:val="30"/>
          <w:szCs w:val="30"/>
          <w14:textFill>
            <w14:solidFill>
              <w14:schemeClr w14:val="tx1"/>
            </w14:solidFill>
          </w14:textFill>
        </w:rPr>
      </w:pPr>
    </w:p>
    <w:p>
      <w:pPr>
        <w:pStyle w:val="11"/>
        <w:spacing w:line="480" w:lineRule="exact"/>
        <w:ind w:firstLine="1084" w:firstLineChars="300"/>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val="0"/>
          <w:sz w:val="36"/>
          <w:szCs w:val="36"/>
          <w:lang w:val="en-US" w:eastAsia="zh-CN"/>
        </w:rPr>
        <w:t>130m集散货船（</w:t>
      </w:r>
      <w:r>
        <w:rPr>
          <w:rFonts w:hint="eastAsia" w:ascii="宋体" w:hAnsi="宋体" w:eastAsia="宋体" w:cs="宋体"/>
          <w:b/>
          <w:bCs w:val="0"/>
          <w:sz w:val="36"/>
          <w:szCs w:val="36"/>
          <w:lang w:val="en-US" w:eastAsia="zh-CN"/>
        </w:rPr>
        <w:t>Ⅲ</w:t>
      </w:r>
      <w:r>
        <w:rPr>
          <w:rFonts w:hint="eastAsia" w:ascii="方正小标宋_GBK" w:hAnsi="方正小标宋_GBK" w:eastAsia="方正小标宋_GBK" w:cs="方正小标宋_GBK"/>
          <w:b/>
          <w:bCs w:val="0"/>
          <w:sz w:val="36"/>
          <w:szCs w:val="36"/>
          <w:lang w:val="en-US" w:eastAsia="zh-CN"/>
        </w:rPr>
        <w:t>型）</w:t>
      </w:r>
      <w:r>
        <w:rPr>
          <w:rFonts w:hint="eastAsia" w:ascii="方正小标宋_GBK" w:hAnsi="方正小标宋_GBK" w:eastAsia="方正小标宋_GBK" w:cs="方正小标宋_GBK"/>
          <w:color w:val="000000" w:themeColor="text1"/>
          <w:sz w:val="36"/>
          <w:szCs w:val="36"/>
          <w14:textFill>
            <w14:solidFill>
              <w14:schemeClr w14:val="tx1"/>
            </w14:solidFill>
          </w14:textFill>
        </w:rPr>
        <w:t>轮机安装劳务工程合同</w:t>
      </w:r>
    </w:p>
    <w:p>
      <w:pPr>
        <w:pStyle w:val="11"/>
        <w:spacing w:line="480" w:lineRule="exact"/>
        <w:ind w:firstLine="600" w:firstLineChars="200"/>
        <w:rPr>
          <w:rFonts w:ascii="方正仿宋_GBK" w:hAnsi="方正仿宋_GBK" w:eastAsia="方正仿宋_GBK" w:cs="方正仿宋_GBK"/>
          <w:color w:val="000000" w:themeColor="text1"/>
          <w:sz w:val="30"/>
          <w:szCs w:val="30"/>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      方：重庆中江船业有限公司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 江华</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公司地址:重庆市涪陵区珍溪镇中江路1号</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      方：XXXXXX有限公司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法定代表人:XXX</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 XXXXXXX</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  方式: XXXXXXX</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甲、乙双方在</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轮机退审图纸消化、理解的基础上，经过友好协商，就乙方承接该轮机安装劳务的有关事项达成如下协议，供双方共同遵照执行：</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28" w:name="_Toc172015255"/>
      <w:r>
        <w:rPr>
          <w:rFonts w:hint="eastAsia" w:ascii="方正仿宋_GBK" w:hAnsi="方正仿宋_GBK" w:eastAsia="方正仿宋_GBK" w:cs="方正仿宋_GBK"/>
          <w:color w:val="000000" w:themeColor="text1"/>
          <w:sz w:val="28"/>
          <w:szCs w:val="28"/>
          <w14:textFill>
            <w14:solidFill>
              <w14:schemeClr w14:val="tx1"/>
            </w14:solidFill>
          </w14:textFill>
        </w:rPr>
        <w:t>一、工程项目</w:t>
      </w:r>
      <w:bookmarkEnd w:id="28"/>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1.工程名称：</w:t>
      </w:r>
      <w:r>
        <w:rPr>
          <w:rFonts w:hint="eastAsia" w:ascii="方正仿宋_GBK" w:hAnsi="方正仿宋_GBK" w:eastAsia="方正仿宋_GBK" w:cs="方正仿宋_GBK"/>
          <w:bCs/>
          <w:sz w:val="28"/>
          <w:szCs w:val="28"/>
          <w:lang w:val="en-US" w:eastAsia="zh-CN"/>
        </w:rPr>
        <w:t>130m集散货船（Ⅲ型）（ZJ25-J1331）</w:t>
      </w:r>
      <w:r>
        <w:rPr>
          <w:rFonts w:hint="eastAsia" w:ascii="宋体" w:hAnsi="宋体" w:cs="仿宋_GB2312"/>
          <w:bCs/>
          <w:sz w:val="28"/>
          <w:szCs w:val="28"/>
          <w:lang w:val="en-US" w:eastAsia="zh-CN"/>
        </w:rPr>
        <w:t>轮机安装工程</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2.工程数量：二艘。</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3.施工依据:</w:t>
      </w:r>
    </w:p>
    <w:p>
      <w:pPr>
        <w:spacing w:line="460" w:lineRule="exact"/>
        <w:ind w:firstLine="420" w:firstLineChars="150"/>
        <w:rPr>
          <w:rFonts w:ascii="方正仿宋_GBK" w:hAnsi="方正仿宋_GBK" w:eastAsia="方正仿宋_GBK" w:cs="方正仿宋_GBK"/>
          <w:color w:val="000000" w:themeColor="text1"/>
          <w:sz w:val="28"/>
          <w:szCs w:val="28"/>
          <w14:textFill>
            <w14:solidFill>
              <w14:schemeClr w14:val="tx1"/>
            </w14:solidFill>
          </w14:textFill>
        </w:rPr>
      </w:pPr>
      <w:bookmarkStart w:id="29" w:name="_Toc172015256"/>
      <w:r>
        <w:rPr>
          <w:rFonts w:hint="eastAsia" w:ascii="方正仿宋_GBK" w:hAnsi="方正仿宋_GBK" w:eastAsia="方正仿宋_GBK" w:cs="方正仿宋_GBK"/>
          <w:color w:val="000000" w:themeColor="text1"/>
          <w:sz w:val="28"/>
          <w:szCs w:val="28"/>
          <w14:textFill>
            <w14:solidFill>
              <w14:schemeClr w14:val="tx1"/>
            </w14:solidFill>
          </w14:textFill>
        </w:rPr>
        <w:t>1、《钢质内河船舶入级规则》(2022)；</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2、《钢质内河船舶建造规范》2016及其修改通报；</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3、《内河船舶法定检验技术规则》2019及2023修改通报；</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4、《船舶应用天然气燃料规范》2024；</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5、《天然气燃料动力船舶法定检验暂行规则》2018；</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6、《材料与焊接规范》2024及2025年第一次变更通告；</w:t>
      </w:r>
    </w:p>
    <w:p>
      <w:pPr>
        <w:spacing w:line="460" w:lineRule="exact"/>
        <w:ind w:firstLine="420" w:firstLineChars="1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7、《内河绿色船舶规范》2023；</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二、工程范围</w:t>
      </w:r>
      <w:bookmarkEnd w:id="29"/>
    </w:p>
    <w:p>
      <w:pPr>
        <w:widowControl/>
        <w:numPr>
          <w:ilvl w:val="0"/>
          <w:numId w:val="3"/>
        </w:numPr>
        <w:spacing w:line="460" w:lineRule="exact"/>
        <w:ind w:firstLine="700" w:firstLineChars="250"/>
        <w:jc w:val="left"/>
        <w:rPr>
          <w:rFonts w:ascii="方正仿宋_GBK" w:hAnsi="方正仿宋_GBK" w:eastAsia="方正仿宋_GBK" w:cs="方正仿宋_GBK"/>
          <w:bCs/>
          <w:sz w:val="28"/>
          <w:szCs w:val="28"/>
        </w:rPr>
      </w:pPr>
      <w:bookmarkStart w:id="30" w:name="_Toc172015257"/>
      <w:r>
        <w:rPr>
          <w:rFonts w:hint="eastAsia" w:ascii="方正仿宋_GBK" w:hAnsi="方正仿宋_GBK" w:eastAsia="方正仿宋_GBK" w:cs="方正仿宋_GBK"/>
          <w:bCs/>
          <w:sz w:val="28"/>
          <w:szCs w:val="28"/>
        </w:rPr>
        <w:t>(1)主推进系统（柴油机、齿轮箱、高弹联轴器、GVU阀箱）；（2）发电机组（机组、GVU阀箱）；（3）压缩空气系统（空压机、主空气瓶、汽笛缓冲气瓶、杂用气瓶、控制空气瓶、汽笛）；（4） 燃油系统（燃油泵、手摇泵、启动快关阀箱）；（5）滑油系统（齿轮箱滑油备用泵、尾轴油和污滑油手摇泵、滑油分离机）；（6）消防、舱底水系统（舱底泵、消防泵、喷射泵、水雾泵、应急消防泵、C02灭火装置）；（7）日用水系统（淡水泵、净水器、净水器源水泵、管道增压泵）；（8）防污染系统（污油水泵、污油泵、生活污水泵组）；（9）甲板机械（锚机、艉绞）；（10）轴舵系（尾轴、艉管、中间轴、可拆联轴节、车叶、轴系刹车装置、中间轴承、舵机、舵叶）；（11）侧推装置；（12）LNG大型设备定位；（13）全船管系安装；（14）机修工具；（15）通风系统（机舱风机、侧推舱风机、CO2间风机、电瓶间风机、厨房风机、舵机舱风机）（16）火星熄灭装置；（17）压载管系液压系统；</w:t>
      </w:r>
      <w:r>
        <w:rPr>
          <w:rFonts w:hint="eastAsia" w:ascii="方正仿宋_GBK" w:hAnsi="方正仿宋_GBK" w:eastAsia="方正仿宋_GBK" w:cs="方正仿宋_GBK"/>
          <w:bCs/>
          <w:sz w:val="28"/>
          <w:szCs w:val="28"/>
          <w:lang w:val="en-US" w:eastAsia="zh-CN"/>
        </w:rPr>
        <w:t>(18)油箱、油柜液位计安装；（19）全船喷淋系统安装；</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en-US" w:eastAsia="zh-CN"/>
        </w:rPr>
        <w:t>20</w:t>
      </w:r>
      <w:r>
        <w:rPr>
          <w:rFonts w:hint="eastAsia" w:ascii="方正仿宋_GBK" w:hAnsi="方正仿宋_GBK" w:eastAsia="方正仿宋_GBK" w:cs="方正仿宋_GBK"/>
          <w:bCs/>
          <w:sz w:val="28"/>
          <w:szCs w:val="28"/>
        </w:rPr>
        <w:t>）退审图中包括的所有设备。</w:t>
      </w:r>
    </w:p>
    <w:p>
      <w:pPr>
        <w:widowControl/>
        <w:spacing w:line="460" w:lineRule="exact"/>
        <w:jc w:val="left"/>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特别说明：1、</w:t>
      </w:r>
      <w:r>
        <w:rPr>
          <w:rFonts w:hint="eastAsia" w:ascii="方正仿宋_GBK" w:hAnsi="方正仿宋_GBK" w:eastAsia="方正仿宋_GBK" w:cs="方正仿宋_GBK"/>
          <w:bCs/>
          <w:sz w:val="28"/>
          <w:szCs w:val="28"/>
        </w:rPr>
        <w:t>设备安装、调试、交验（含：设备底座小于300kg制作安装，大于300kg设备底座由船体制作、轮机定位、船体焊接）,含：1.5m³（含1.5m³）以下箱柜由轮机制作安装，1.5m³以上的箱柜由船体制作焊接密性，轮机定位安装附件。</w:t>
      </w:r>
    </w:p>
    <w:p>
      <w:pPr>
        <w:widowControl/>
        <w:spacing w:line="460" w:lineRule="exact"/>
        <w:ind w:firstLine="1260" w:firstLineChars="45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2、以上设备的安装均含各种附件的安装、调试。</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三、合同价格</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及支付</w:t>
      </w:r>
    </w:p>
    <w:p>
      <w:pPr>
        <w:pStyle w:val="11"/>
        <w:spacing w:line="480" w:lineRule="exact"/>
        <w:ind w:left="105" w:leftChars="50" w:firstLine="420" w:firstLineChars="1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1.本合同在合同约定轮机安装工程范围总费用：      元，包括3%税金。按合同节点支付工程款，付款前乙方出具相应的增值税专用发票，若因乙方原因未出具发票的，甲方不承担逾期付款的责任。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2.本合同劳务费含全船轮机设备安装、管系安装和辅助工作以及工人工资(生活费)、税金、环保费、意外保险费等一切费用在内。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3.本合同工程范围内的工属具：电焊机由甲方提供，其他工属具及安全帽、安全带、手套、口罩等个人劳保用品，全部由乙方提供并承担相关费用。</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1" w:name="_Toc172015258"/>
      <w:r>
        <w:rPr>
          <w:rFonts w:hint="eastAsia" w:ascii="方正仿宋_GBK" w:hAnsi="方正仿宋_GBK" w:eastAsia="方正仿宋_GBK" w:cs="方正仿宋_GBK"/>
          <w:color w:val="000000" w:themeColor="text1"/>
          <w:sz w:val="28"/>
          <w:szCs w:val="28"/>
          <w14:textFill>
            <w14:solidFill>
              <w14:schemeClr w14:val="tx1"/>
            </w14:solidFill>
          </w14:textFill>
        </w:rPr>
        <w:t>四、工期和工程节点时间考核及费用支付</w:t>
      </w:r>
      <w:bookmarkEnd w:id="31"/>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1.本合同</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轮机安装工程时间为：从202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8"/>
          <w:szCs w:val="28"/>
          <w14:textFill>
            <w14:solidFill>
              <w14:schemeClr w14:val="tx1"/>
            </w14:solidFill>
          </w14:textFill>
        </w:rPr>
        <w:t>日至202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bookmarkStart w:id="59" w:name="_GoBack"/>
      <w:bookmarkEnd w:id="59"/>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日完工完成。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（1）舱底压载管系安装完成、主要设备吊装上船，甲方向乙方支付工程劳务费，甲方向乙方支付支付第一期工程款，合同金额的30%。</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（2）轴舵系安装完成，水线以下工作完成，达到船舶下水，甲方向乙方支付第二期工程劳务费，合同金额的20%。</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（3）主要设备（主机、发电机组、齿轮箱、舵机等）安装、调试，达到系泊试验状态，甲方向乙方支付第三期工程劳务费，合同金额的30%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（4）检验出厂，无建造质量问题。甲方交船完成，甲方向乙方支付第四期工程劳务费，合同金额的20%，留5%作质保金，质保期一年。</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（5）节点如提前完成，工程款按节点提前支付。</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2" w:name="_Toc172015259"/>
      <w:r>
        <w:rPr>
          <w:rFonts w:hint="eastAsia" w:ascii="方正仿宋_GBK" w:hAnsi="方正仿宋_GBK" w:eastAsia="方正仿宋_GBK" w:cs="方正仿宋_GBK"/>
          <w:color w:val="000000" w:themeColor="text1"/>
          <w:sz w:val="28"/>
          <w:szCs w:val="28"/>
          <w14:textFill>
            <w14:solidFill>
              <w14:schemeClr w14:val="tx1"/>
            </w14:solidFill>
          </w14:textFill>
        </w:rPr>
        <w:t>五、质量要求及验收标准</w:t>
      </w:r>
      <w:bookmarkEnd w:id="32"/>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1.按建造规范和中国造船质量标准、法规及设计图纸技术要求进行检验。甲方对乙方施工全过程进行质量监控。</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2.乙方必须对施工范围内的质量进行自检并接受厂检和船检、船东监理巡查，对不合格的工程进行返工整改，并取得厂检、船检、船东监理认可后为质量合格。</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 乙方交检前船上及舱室内的废物和废料清理下船，并打扫干净，否则拒绝检验。</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3" w:name="_Toc172015260"/>
      <w:r>
        <w:rPr>
          <w:rFonts w:hint="eastAsia" w:ascii="方正仿宋_GBK" w:hAnsi="方正仿宋_GBK" w:eastAsia="方正仿宋_GBK" w:cs="方正仿宋_GBK"/>
          <w:color w:val="000000" w:themeColor="text1"/>
          <w:sz w:val="28"/>
          <w:szCs w:val="28"/>
          <w14:textFill>
            <w14:solidFill>
              <w14:schemeClr w14:val="tx1"/>
            </w14:solidFill>
          </w14:textFill>
        </w:rPr>
        <w:t>六、乙方承诺</w:t>
      </w:r>
      <w:bookmarkEnd w:id="33"/>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1.乙方的所有施工人员年龄必须在18周岁以上6</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周岁以下，身体健康，品行端正，从业人员经过必要的技能培训，开工后10天内现场施工人员不少于20人，保证各个工程节点按期完成，后续根据生产情况按需增加人员，必要时晚上加班完成，所产生的额外成本由乙方自行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2.乙方系雇佣工人的雇主，必须按相关规定为所属施工人员购买雇主责任保险，施工过程中一切安全问题由乙方自行承担，包括但不限于责任与费用。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3.乙方应将施工人员基本情况（姓名、性别、年龄、工种、家庭住址）和体检表（报告）、身份证复印件，提供给甲方备案；户口在外地（珍溪镇以外）人员，必须到珍溪镇派出所办理暂住证。</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特殊岗位作业人员（如电焊工等）必须持有特殊行业操作证书（上岗证），无证人员不准上岗，若到岗人员无专业操作证书，或专业技术不符合本工程要求，甲方有权要求更换人员或者要求停止施工作业，因延期造成的损失由乙方自行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5.乙方人员进场后必须到甲方安全环保部办理相关手续，并严格遵守甲方的各项管理制度，注意安全防火和环境保护；如有违反，甲方有权按规定予以处罚或要求其停止施工离开厂区。</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人员进场前需在修船部办理相关的宿舍入住手续后方可入住，必须服从甲方的安排调配，爱护宿舍设施，如损坏宿舍设施或污染环境，则需按有关规定给予赔偿。乙方人员应节约用水、用电，水、电费按每人每月约50元标准予以控制，超过部分由乙方自行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4" w:name="_Toc172015261"/>
      <w:r>
        <w:rPr>
          <w:rFonts w:hint="eastAsia" w:ascii="方正仿宋_GBK" w:hAnsi="方正仿宋_GBK" w:eastAsia="方正仿宋_GBK" w:cs="方正仿宋_GBK"/>
          <w:color w:val="000000" w:themeColor="text1"/>
          <w:sz w:val="28"/>
          <w:szCs w:val="28"/>
          <w14:textFill>
            <w14:solidFill>
              <w14:schemeClr w14:val="tx1"/>
            </w14:solidFill>
          </w14:textFill>
        </w:rPr>
        <w:t>七、材料及工属具责任承担</w:t>
      </w:r>
      <w:bookmarkEnd w:id="34"/>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1.甲方提供给乙方使用的工作电源设备、焊机、空压机和起重设备，乙方在使用过程中应妥善保管，如因操作不当造成损坏、人为损坏，遗失，乙方应以相当价值予以赔偿。</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2.乙方按甲方核定的用料标准领用材料。领取后，材料丢失、损坏、超耗，损失均由乙方承担。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3.材料损耗量核定：焊钢比≤3%，钢板损耗≤8%，型材≤5%，管材和不锈钢管≤2%。每吨钢材加工耗用高能气1/2瓶，二氧化碳气1/2瓶，氧气3瓶。</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5" w:name="_Toc172015262"/>
      <w:r>
        <w:rPr>
          <w:rFonts w:hint="eastAsia" w:ascii="方正仿宋_GBK" w:hAnsi="方正仿宋_GBK" w:eastAsia="方正仿宋_GBK" w:cs="方正仿宋_GBK"/>
          <w:color w:val="000000" w:themeColor="text1"/>
          <w:sz w:val="28"/>
          <w:szCs w:val="28"/>
          <w14:textFill>
            <w14:solidFill>
              <w14:schemeClr w14:val="tx1"/>
            </w14:solidFill>
          </w14:textFill>
        </w:rPr>
        <w:t>八、安全管理及责任承担</w:t>
      </w:r>
      <w:bookmarkEnd w:id="35"/>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1.乙方进场前须与甲方签署重庆中江船业有限公司《外包工程项目安全管理协议》。</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2.乙方人员进场施工，必须遵守甲方安全生产规章制度，穿戴好防护用品，并严格遵守操作规程。为加强安全管理，乙方应当配备专（兼）职安全员。</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3.按照“谁施工，谁负责”的原则，乙方进场前将施工人员的身份信息提交给甲方安全环保部，后续新进工人来一个就及时上报。如未上报，造成脱保赔偿事件，由乙方自行负责赔偿及承担相关法律责任。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4.乙方人员如发生事故，24小时内立即上报甲方安全环保部。如未在24小时内上报，由乙方负责解决、处理并承担经济和法律责任。</w:t>
      </w:r>
    </w:p>
    <w:p>
      <w:pPr>
        <w:spacing w:line="288" w:lineRule="auto"/>
        <w:ind w:firstLine="560" w:firstLineChars="200"/>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r>
        <w:rPr>
          <w:rFonts w:hint="eastAsia" w:ascii="方正仿宋_GBK" w:hAnsi="方正仿宋_GBK" w:eastAsia="方正仿宋_GBK" w:cs="方正仿宋_GBK"/>
          <w:sz w:val="28"/>
          <w:szCs w:val="28"/>
        </w:rPr>
        <w:t>生产过程中产生的危化废物、固化废物、余料、垃圾等，要及时清理到指定位置堆放，不许随意丢弃排放，一旦查出，必须重罚处理。</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6" w:name="_Toc172015263"/>
      <w:r>
        <w:rPr>
          <w:rFonts w:hint="eastAsia" w:ascii="方正仿宋_GBK" w:hAnsi="方正仿宋_GBK" w:eastAsia="方正仿宋_GBK" w:cs="方正仿宋_GBK"/>
          <w:color w:val="000000" w:themeColor="text1"/>
          <w:sz w:val="28"/>
          <w:szCs w:val="28"/>
          <w14:textFill>
            <w14:solidFill>
              <w14:schemeClr w14:val="tx1"/>
            </w14:solidFill>
          </w14:textFill>
        </w:rPr>
        <w:t>九、双方权利、义务</w:t>
      </w:r>
      <w:bookmarkEnd w:id="36"/>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除本合同另有约定外，双方按以下约定享有权利和履行义务</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1、甲方权利、义务</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（1）及时提供工程需要的各类图纸、材料、辅料、工具。</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（2）甲方提供现有加工设备及起吊设备配合乙方施工。</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（3）按合同约定支付乙方工程项目劳务费。</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（4）甲方有权对工程项目进行监督和验收，对不合格的工程项目，有权力要求其停止施工，直至返工完成，验收合格，因返工产生的费用从乙方劳务费中扣出。</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（5）指定乙方的施工场地及工位。</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2、乙方权利、义务</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（1）乙方按照甲方提供的图纸和资料，根据合同约定的进度和质量要求，合理组织施工人员施工，对工程质量和进度负责。</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（2）乙方应加强施工人员管理，配备必要的劳保防护用品，防暑降温药品，教育、督促施工人员严格遵守操作规程和各项管理制度，确保安全生产，对承揽工程项目安全负责。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（3）船舶建造中的材料转运、分段吊运及搭棚、搭架等工作由乙方负责（甲方提供必要的材料、大重件吊车协助）。</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（4）乙方现场负责人需按时参加甲方组织的生产调度会，安全环保会，并按要求合理安排工作，确保生产计划完成。</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（5）乙方发现甲方提供的图纸或资料有误，应当及时通知甲方。</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（6）乙方施工期间，应当接受甲方必要的监督、检验。</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（7）乙方施工期间，产生的废铁、垃圾等必须每天清理下船至甲方指定位置，且将船台施工区域清洁干净。</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（8）要求甲方支付相应的工程项目劳务款项。</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（9）乙方履行本合同期间，造成乙方雇佣人员、承包商、甲方、第三方人身或者财产损失的，由乙方承担，甲方因此受到索赔的，有权向乙方进行追索。</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7" w:name="_Toc172015264"/>
      <w:r>
        <w:rPr>
          <w:rFonts w:hint="eastAsia" w:ascii="方正仿宋_GBK" w:hAnsi="方正仿宋_GBK" w:eastAsia="方正仿宋_GBK" w:cs="方正仿宋_GBK"/>
          <w:color w:val="000000" w:themeColor="text1"/>
          <w:sz w:val="28"/>
          <w:szCs w:val="28"/>
          <w14:textFill>
            <w14:solidFill>
              <w14:schemeClr w14:val="tx1"/>
            </w14:solidFill>
          </w14:textFill>
        </w:rPr>
        <w:t>十、特别约定</w:t>
      </w:r>
      <w:bookmarkEnd w:id="37"/>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1.工程质保金按本合同金额的5%在最后一期中扣除,工程完工交付船东一年后，无质量问题甲方支付质保金。</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2.乙方按照合同总金额的5%缴纳履约保证金给甲方，在第一期工程款中扣除，船舶下水后无息返还给乙方。</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3.乙方在施工过程中造成设备损坏、材料浪费（报废）或发生质量损失，乙方应承担赔偿责任。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4.乙方未按甲方提供的图纸、相关技术标准、施工工艺、主管指定用料安排施工，每发现一次，乙方支付甲方违约金200元。</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5.乙方未按期完成船舶建造工程（除配合装饰安装、油漆涂装之外），除履约保证金不退还之外，且每延后一天，乙方支付甲方违约金300元。累计计算。</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施工区域的灰渣、废铁应进行阶段性清理，纸壳、废铁、杂物要分类堆放到公司指定位置，施工中保持环境整洁、道路畅通，船舶完工后应将船台区域清洁干净，如乙方违约，每发现一次处罚300元，并按国家环保相关规定进行处罚和追责。</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7.乙方必须按甲方船舶建造工程节点计划要求执行，不得擅自变更工程节点计划。除因甲方未及时提供施工图纸、材料、场地等原因影响工期相应顺延，并按顺延后的工期计算。</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应当按月发放员工工资，不得拖欠民工工资。乙方向甲方申请支付每一期工程款时，必须提供员工工资发放表。如乙方拖欠员工工资，甲方有权从应付劳务费中直接支付给施工人员。甲方直接支付工资的行为不视为甲方与乙方雇佣人员之间形成雇佣或者劳动关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9.甲方购买的雇主责任险作为乙方的辅助保险，保险公司赔付后，差额部分由乙方自行解决，乙方按时将增减人员及时上报甲方安全环保部，造成脱保赔偿事件，由乙方自行负责赔偿及承担相关法律责任。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8" w:name="_Toc172015265"/>
      <w:r>
        <w:rPr>
          <w:rFonts w:hint="eastAsia" w:ascii="方正仿宋_GBK" w:hAnsi="方正仿宋_GBK" w:eastAsia="方正仿宋_GBK" w:cs="方正仿宋_GBK"/>
          <w:color w:val="000000" w:themeColor="text1"/>
          <w:sz w:val="28"/>
          <w:szCs w:val="28"/>
          <w14:textFill>
            <w14:solidFill>
              <w14:schemeClr w14:val="tx1"/>
            </w14:solidFill>
          </w14:textFill>
        </w:rPr>
        <w:t>十一、违约责任</w:t>
      </w:r>
      <w:bookmarkEnd w:id="38"/>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1.甲乙双方若未按照本合同约定条款执行造成违约的，违约方应向对方承担违约责任。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2.乙方未能保证足够施工人员，严重拖延工期，造成计划节点不能够按期完成，或者出现严重质量或安全事故，甲方有权解除合同，并追究乙方违约责任，乙方须向甲方支付不低于合同总价20%的违约金。</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3.乙方单方面解除建造劳务合同，乙方须向甲方支付不低于合同总价20%的违约金，违约金不足以弥补给甲方造成的损失的，乙方将承担全部赔偿责任。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39" w:name="_Toc172015266"/>
      <w:r>
        <w:rPr>
          <w:rFonts w:hint="eastAsia" w:ascii="方正仿宋_GBK" w:hAnsi="方正仿宋_GBK" w:eastAsia="方正仿宋_GBK" w:cs="方正仿宋_GBK"/>
          <w:color w:val="000000" w:themeColor="text1"/>
          <w:sz w:val="28"/>
          <w:szCs w:val="28"/>
          <w14:textFill>
            <w14:solidFill>
              <w14:schemeClr w14:val="tx1"/>
            </w14:solidFill>
          </w14:textFill>
        </w:rPr>
        <w:t>十二、其他</w:t>
      </w:r>
      <w:bookmarkEnd w:id="39"/>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1.本协议一式肆份，甲方叁份，乙方壹份，经双方签字盖章后生效，具有同等法律效力。</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2.未尽事宜，双方友好协商解决。协商不成，向重庆市涪陵区人民法院提起诉讼。</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3.本合同各项条款履行完毕，合同自然失效。</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0" w:name="_Toc172015267"/>
      <w:r>
        <w:rPr>
          <w:rFonts w:hint="eastAsia" w:ascii="方正仿宋_GBK" w:hAnsi="方正仿宋_GBK" w:eastAsia="方正仿宋_GBK" w:cs="方正仿宋_GBK"/>
          <w:color w:val="000000" w:themeColor="text1"/>
          <w:sz w:val="28"/>
          <w:szCs w:val="28"/>
          <w14:textFill>
            <w14:solidFill>
              <w14:schemeClr w14:val="tx1"/>
            </w14:solidFill>
          </w14:textFill>
        </w:rPr>
        <w:t>十三、合同附件</w:t>
      </w:r>
      <w:bookmarkEnd w:id="40"/>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合同附件一：建造工程施工界面</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合同附件二：保险承诺书</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合同附件三：雇主责任保险管理制度（试行）知晓承诺书</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合同附件四：人员使用承诺书</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合同附件五：外包工程项目安全管理协议</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合同附件六：外包工程项目职业卫生安全管理协议</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合同附件七：外包工程廉政协议</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（以下无正文）</w:t>
      </w:r>
    </w:p>
    <w:p>
      <w:pPr>
        <w:pStyle w:val="11"/>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 XXXXX有限公司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联系电话：                           联系电话：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2800" w:firstLineChars="1000"/>
        <w:rPr>
          <w:rFonts w:ascii="方正仿宋_GBK" w:hAnsi="方正仿宋_GBK" w:eastAsia="方正仿宋_GBK" w:cs="方正仿宋_GBK"/>
          <w:color w:val="000000" w:themeColor="text1"/>
          <w:sz w:val="28"/>
          <w:szCs w:val="28"/>
          <w14:textFill>
            <w14:solidFill>
              <w14:schemeClr w14:val="tx1"/>
            </w14:solidFill>
          </w14:textFill>
        </w:rPr>
      </w:pPr>
      <w:bookmarkStart w:id="41" w:name="_Toc172015268"/>
    </w:p>
    <w:p>
      <w:pPr>
        <w:pStyle w:val="11"/>
        <w:spacing w:line="480" w:lineRule="exact"/>
        <w:ind w:firstLine="2800" w:firstLineChars="10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2800" w:firstLineChars="10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2800" w:firstLineChars="10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2800" w:firstLineChars="10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2800" w:firstLineChars="10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合同附件一</w:t>
      </w:r>
    </w:p>
    <w:p>
      <w:pPr>
        <w:pStyle w:val="11"/>
        <w:spacing w:line="480" w:lineRule="exact"/>
        <w:ind w:firstLine="3840" w:firstLineChars="12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建造工程施工界面</w:t>
      </w:r>
      <w:bookmarkEnd w:id="41"/>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主推进系统（柴油机、齿轮箱、高弹联轴器、GVU阀箱）；</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发电机组（机组、GVU阀箱）；</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压缩空气系统（空压机、主空气瓶、汽笛缓冲气瓶、杂用气瓶、控制空气瓶、汽笛）；</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 xml:space="preserve"> 燃油系统（燃油泵、手摇泵、启动快关阀箱）；</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滑油系统（齿轮箱滑油备用泵、尾轴油和污滑油手摇泵、滑油分离机）；</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消防、舱底水系统（舱底泵、消防泵、喷射泵、水雾泵、应急消防泵、C02灭火装置）；</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日用水系统（储罐式电热水器、淡水泵、净水器、净水器源水泵、管道增压泵）；</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防污染系统（污油水泵、污油泵、生活污水泵组）；</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甲板机械（锚机、艉绞）；</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轴舵系（尾轴、艉管、中间轴、可拆联轴节、车叶、轴系刹车装置、中间轴承、舵机、舵叶）；</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侧推装置；</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LNG大型设备</w:t>
      </w:r>
      <w:r>
        <w:rPr>
          <w:rFonts w:hint="eastAsia" w:ascii="方正仿宋_GBK" w:hAnsi="方正仿宋_GBK" w:eastAsia="方正仿宋_GBK" w:cs="方正仿宋_GBK"/>
          <w:bCs/>
          <w:sz w:val="28"/>
          <w:szCs w:val="28"/>
          <w:lang w:eastAsia="zh-CN"/>
        </w:rPr>
        <w:t>（罐体）</w:t>
      </w:r>
      <w:r>
        <w:rPr>
          <w:rFonts w:hint="eastAsia" w:ascii="方正仿宋_GBK" w:hAnsi="方正仿宋_GBK" w:eastAsia="方正仿宋_GBK" w:cs="方正仿宋_GBK"/>
          <w:bCs/>
          <w:sz w:val="28"/>
          <w:szCs w:val="28"/>
        </w:rPr>
        <w:t>定位；</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全船管系安装；</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机修工具；</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通风系统（机舱风机、侧推舱风机、CO2间风机、电瓶间风机、厨房风机、舵机舱风机）；</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火星熄灭装置；</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压载管系液压系统；</w:t>
      </w:r>
    </w:p>
    <w:p>
      <w:pPr>
        <w:widowControl/>
        <w:numPr>
          <w:ilvl w:val="0"/>
          <w:numId w:val="6"/>
        </w:numPr>
        <w:spacing w:line="460" w:lineRule="exact"/>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退审图中包括的所有设备。</w:t>
      </w:r>
    </w:p>
    <w:p>
      <w:pPr>
        <w:widowControl/>
        <w:spacing w:line="460" w:lineRule="exact"/>
        <w:jc w:val="left"/>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特别说明：1、</w:t>
      </w:r>
      <w:r>
        <w:rPr>
          <w:rFonts w:hint="eastAsia" w:ascii="方正仿宋_GBK" w:hAnsi="方正仿宋_GBK" w:eastAsia="方正仿宋_GBK" w:cs="方正仿宋_GBK"/>
          <w:bCs/>
          <w:sz w:val="28"/>
          <w:szCs w:val="28"/>
        </w:rPr>
        <w:t>设备安装、调试、交验（含：设备底座小于300kg制作安装，大于300kg设备底座由船体制作、轮机定位、船体焊接）,含：1.5m³（含1.5m³）以下箱柜由轮机制作安装，1.5m³以上的箱柜由船体制作焊接密性，轮机定位安装附件。</w:t>
      </w:r>
    </w:p>
    <w:p>
      <w:pPr>
        <w:widowControl/>
        <w:spacing w:line="460" w:lineRule="exact"/>
        <w:ind w:firstLine="1260" w:firstLineChars="45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2、以上设备的安装均含各种附件的安装、调试。</w:t>
      </w:r>
    </w:p>
    <w:p>
      <w:pPr>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甲方：重庆中江船业有限公司             乙方：XXXXX有限公司</w:t>
      </w:r>
    </w:p>
    <w:p>
      <w:pPr>
        <w:pStyle w:val="11"/>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                                 代表：</w:t>
      </w:r>
    </w:p>
    <w:p>
      <w:pPr>
        <w:pStyle w:val="11"/>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r>
        <w:rPr>
          <w:rFonts w:hint="eastAsia" w:ascii="方正仿宋_GBK" w:hAnsi="方正仿宋_GBK" w:eastAsia="方正仿宋_GBK" w:cs="方正仿宋_GBK"/>
          <w:color w:val="000000" w:themeColor="text1"/>
          <w:sz w:val="28"/>
          <w:szCs w:val="28"/>
          <w14:textFill>
            <w14:solidFill>
              <w14:schemeClr w14:val="tx1"/>
            </w14:solidFill>
          </w14:textFill>
        </w:rPr>
        <w:br w:type="page"/>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2" w:name="_Toc172015269"/>
      <w:r>
        <w:rPr>
          <w:rFonts w:hint="eastAsia" w:ascii="方正仿宋_GBK" w:hAnsi="方正仿宋_GBK" w:eastAsia="方正仿宋_GBK" w:cs="方正仿宋_GBK"/>
          <w:color w:val="000000" w:themeColor="text1"/>
          <w:sz w:val="28"/>
          <w:szCs w:val="28"/>
          <w14:textFill>
            <w14:solidFill>
              <w14:schemeClr w14:val="tx1"/>
            </w14:solidFill>
          </w14:textFill>
        </w:rPr>
        <w:t>合同附件二</w:t>
      </w:r>
    </w:p>
    <w:p>
      <w:pPr>
        <w:pStyle w:val="11"/>
        <w:spacing w:line="480" w:lineRule="exact"/>
        <w:ind w:firstLine="2240" w:firstLineChars="7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雇主责任保险管理制度（试行）知晓承诺书</w:t>
      </w:r>
      <w:bookmarkEnd w:id="42"/>
    </w:p>
    <w:p>
      <w:pPr>
        <w:pStyle w:val="11"/>
        <w:spacing w:line="480" w:lineRule="exact"/>
        <w:ind w:firstLine="3200" w:firstLineChars="10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雇主责任保险管理制度（试行）</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  安全环保部是保险管理的归口部门，落实专人负责保险相关事宜。</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  施工单位新进员工必须经安全教育培训考试合格后方可上岗作业。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  施工单位承包建造工程项目入场前，必须将单位资质、现有员工信息花名册、联系方式、工种、特殊工种操作证等复印件交安全环保部存档备案。增减人员必须第一时间上报安全环保部，保险生效（购买24小时后）才能上岗作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  在生产过程中发生微、轻、重等各类伤害事故，应立即上报安全环保部进行事故现场确认（30分钟以内），不得破坏事故现场，便于联系保险公司对事故现场进行事故确认并取证留底，并积极配合安全环保部进行事故调查；如超过24小时未上报保险公司造成脱保现象，由施工单位自行负责。</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施工单位与员工签订用工协议，工资花名册复印件（每月）交安全环保部。</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  施工单位新进员工未经安全教育培训、未上报保险信息造成保险漏保现象，由施工单位全权承担经济赔偿及法律责任。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第七条  施工单位员工发生工伤，重庆中江船业有限公司只承担雇主责任保险赔付部分，赔付不足差额部分及法律责任由施工单位自行负责。</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第八条  施工单位加强员工保险管理，瞒报、谎报（如骗保）造成的一切后果和法律责任由施工单位自行负责。</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第九条  被保险人的故意行为、重大过失行为、特殊岗位无证操作、无证操作特种设备、罚款、精神损害、与工作无关行为造成伤害，以及雇主责任保险条款规定的责任免除条款（包含职业病），不在雇主责任保险范围内，不负责赔偿。</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第十条  乙方不得使用65岁以上（含65岁）的员工，如乙方用65岁以上（含65岁）的员工发生一切事故，由乙方负责解决、处理并承担经济和法律责任。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43" w:name="_Toc172015272"/>
      <w:r>
        <w:rPr>
          <w:rFonts w:hint="eastAsia" w:ascii="方正仿宋_GBK" w:hAnsi="方正仿宋_GBK" w:eastAsia="方正仿宋_GBK" w:cs="方正仿宋_GBK"/>
          <w:color w:val="000000" w:themeColor="text1"/>
          <w:sz w:val="28"/>
          <w:szCs w:val="28"/>
          <w14:textFill>
            <w14:solidFill>
              <w14:schemeClr w14:val="tx1"/>
            </w14:solidFill>
          </w14:textFill>
        </w:rPr>
        <w:t>合同附件三</w:t>
      </w:r>
    </w:p>
    <w:p>
      <w:pPr>
        <w:pStyle w:val="11"/>
        <w:spacing w:line="480" w:lineRule="exact"/>
        <w:ind w:firstLine="4160" w:firstLineChars="13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保险承诺书</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致：重庆中江船业有限公司：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本公司承诺，自愿执行《重庆中江船业有限公司雇主责任保险管理制度（试行）》。</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入场员工必须先进行安全教育培训（考试结果合格）、上报保险生效后才能安排员工上岗作业，若违反《重庆中江船业有限公司雇主责任保险管理制度（试行）》及其他约定造成人员漏保、脱保现象，引起的经济纠纷和法律责任由我公司全权负责，与重庆中江船业有限公司无关。</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我公司必须按相关规定为所属人员购买保险，且购买保险的保险公司与重庆中江船业有限公司不能是同一家保险公司，重庆中江船业有限公司购买的雇主责任保险仅作为我公司所属人员的辅助保险。</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承诺单位：XXXX有限公司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承诺责任人（签字盖章）：</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合同附件四</w:t>
      </w:r>
    </w:p>
    <w:p>
      <w:pPr>
        <w:pStyle w:val="11"/>
        <w:spacing w:line="480" w:lineRule="exact"/>
        <w:ind w:firstLine="4160" w:firstLineChars="13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人员使用承诺书</w:t>
      </w: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本人         ，身份证号                 ，系                      （单位）主要负责人，本人郑重承诺：在承包</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轮机安装劳务工程施工过程中，本施工队不得恶意挖取贵公司在建船舶其他施工队工作人员（公司完工船舶人员除外），一经发现愿意承担2000元的罚款。</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承诺单位：XX有限公司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单位负责人：（签字盖章）</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合同附件五</w:t>
      </w:r>
    </w:p>
    <w:p>
      <w:pPr>
        <w:pStyle w:val="11"/>
        <w:spacing w:line="480" w:lineRule="exact"/>
        <w:ind w:firstLine="2240" w:firstLineChars="7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外包工程项目安全、环保管理协议</w:t>
      </w:r>
      <w:bookmarkEnd w:id="43"/>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乙方（工程承包方）：XXXXX有限公司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轮机安装劳务工程</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为贯彻“安全第一、预防为主、综合治理”的安全生产方针，根据</w:t>
      </w:r>
      <w:r>
        <w:rPr>
          <w:rFonts w:hint="eastAsia" w:ascii="方正仿宋_GBK" w:hAnsi="方正仿宋_GBK" w:eastAsia="方正仿宋_GBK" w:cs="方正仿宋_GBK"/>
          <w:sz w:val="28"/>
          <w:szCs w:val="28"/>
        </w:rPr>
        <w:t>《安全生产法》、《环保法》、《职业病防治法》、《劳动法》</w:t>
      </w:r>
      <w:r>
        <w:rPr>
          <w:rFonts w:hint="eastAsia" w:ascii="方正仿宋_GBK" w:hAnsi="方正仿宋_GBK" w:eastAsia="方正仿宋_GBK" w:cs="方正仿宋_GBK"/>
          <w:color w:val="000000" w:themeColor="text1"/>
          <w:sz w:val="28"/>
          <w:szCs w:val="28"/>
          <w14:textFill>
            <w14:solidFill>
              <w14:schemeClr w14:val="tx1"/>
            </w14:solidFill>
          </w14:textFill>
        </w:rPr>
        <w:t>等法律法规规定，明确双方的安全、环保生产责任，确保施工安全和环境管理，双方在签订工程合同时，同时签订本协议。</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一、甲乙双方协同配合管理责任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4" w:name="bookmark10"/>
      <w:r>
        <w:rPr>
          <w:rFonts w:hint="eastAsia" w:ascii="方正仿宋_GBK" w:hAnsi="方正仿宋_GBK" w:eastAsia="方正仿宋_GBK" w:cs="方正仿宋_GBK"/>
          <w:color w:val="000000" w:themeColor="text1"/>
          <w:sz w:val="28"/>
          <w:szCs w:val="28"/>
          <w14:textFill>
            <w14:solidFill>
              <w14:schemeClr w14:val="tx1"/>
            </w14:solidFill>
          </w14:textFill>
        </w:rPr>
        <w:t>1</w:t>
      </w:r>
      <w:bookmarkEnd w:id="44"/>
      <w:r>
        <w:rPr>
          <w:rFonts w:hint="eastAsia" w:ascii="方正仿宋_GBK" w:hAnsi="方正仿宋_GBK" w:eastAsia="方正仿宋_GBK" w:cs="方正仿宋_GBK"/>
          <w:color w:val="000000" w:themeColor="text1"/>
          <w:sz w:val="28"/>
          <w:szCs w:val="28"/>
          <w14:textFill>
            <w14:solidFill>
              <w14:schemeClr w14:val="tx1"/>
            </w14:solidFill>
          </w14:textFill>
        </w:rPr>
        <w:t>、甲、乙双方必须严格执行有关安全生产法律、法规、规章、强制标准和安全操作规程及施工安全管理规定。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5" w:name="bookmark11"/>
      <w:r>
        <w:rPr>
          <w:rFonts w:hint="eastAsia" w:ascii="方正仿宋_GBK" w:hAnsi="方正仿宋_GBK" w:eastAsia="方正仿宋_GBK" w:cs="方正仿宋_GBK"/>
          <w:color w:val="000000" w:themeColor="text1"/>
          <w:sz w:val="28"/>
          <w:szCs w:val="28"/>
          <w14:textFill>
            <w14:solidFill>
              <w14:schemeClr w14:val="tx1"/>
            </w14:solidFill>
          </w14:textFill>
        </w:rPr>
        <w:t>2</w:t>
      </w:r>
      <w:bookmarkEnd w:id="45"/>
      <w:r>
        <w:rPr>
          <w:rFonts w:hint="eastAsia" w:ascii="方正仿宋_GBK" w:hAnsi="方正仿宋_GBK" w:eastAsia="方正仿宋_GBK" w:cs="方正仿宋_GBK"/>
          <w:color w:val="000000" w:themeColor="text1"/>
          <w:sz w:val="28"/>
          <w:szCs w:val="28"/>
          <w14:textFill>
            <w14:solidFill>
              <w14:schemeClr w14:val="tx1"/>
            </w14:solidFill>
          </w14:textFill>
        </w:rPr>
        <w:t>、甲、乙双方都应建立安全管理规章制度，乙方必须配备现场专职（或兼职）安全员。施工期间，负责本工程项目的日常安全生产（包括消防、环保）等管理工作。</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6" w:name="bookmark12"/>
      <w:r>
        <w:rPr>
          <w:rFonts w:hint="eastAsia" w:ascii="方正仿宋_GBK" w:hAnsi="方正仿宋_GBK" w:eastAsia="方正仿宋_GBK" w:cs="方正仿宋_GBK"/>
          <w:color w:val="000000" w:themeColor="text1"/>
          <w:sz w:val="28"/>
          <w:szCs w:val="28"/>
          <w14:textFill>
            <w14:solidFill>
              <w14:schemeClr w14:val="tx1"/>
            </w14:solidFill>
          </w14:textFill>
        </w:rPr>
        <w:t>3</w:t>
      </w:r>
      <w:bookmarkEnd w:id="46"/>
      <w:r>
        <w:rPr>
          <w:rFonts w:hint="eastAsia" w:ascii="方正仿宋_GBK" w:hAnsi="方正仿宋_GBK" w:eastAsia="方正仿宋_GBK" w:cs="方正仿宋_GBK"/>
          <w:color w:val="000000" w:themeColor="text1"/>
          <w:sz w:val="28"/>
          <w:szCs w:val="28"/>
          <w14:textFill>
            <w14:solidFill>
              <w14:schemeClr w14:val="tx1"/>
            </w14:solidFill>
          </w14:textFill>
        </w:rPr>
        <w:t>、甲、乙双方在施工前要认真勘察施工现场，甲方对乙方负责人和工程技术人员根据工程项目内容、特点进行全面的安全技术交底。乙方应详细了解工程项目的作业环境、施工日期、各类安全措施情况及安全注意事项后，拟订施工计划和施工安全技术措施，并严格执行。</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7" w:name="bookmark13"/>
      <w:r>
        <w:rPr>
          <w:rFonts w:hint="eastAsia" w:ascii="方正仿宋_GBK" w:hAnsi="方正仿宋_GBK" w:eastAsia="方正仿宋_GBK" w:cs="方正仿宋_GBK"/>
          <w:color w:val="000000" w:themeColor="text1"/>
          <w:sz w:val="28"/>
          <w:szCs w:val="28"/>
          <w14:textFill>
            <w14:solidFill>
              <w14:schemeClr w14:val="tx1"/>
            </w14:solidFill>
          </w14:textFill>
        </w:rPr>
        <w:t>4</w:t>
      </w:r>
      <w:bookmarkEnd w:id="47"/>
      <w:r>
        <w:rPr>
          <w:rFonts w:hint="eastAsia" w:ascii="方正仿宋_GBK" w:hAnsi="方正仿宋_GBK" w:eastAsia="方正仿宋_GBK" w:cs="方正仿宋_GBK"/>
          <w:color w:val="000000" w:themeColor="text1"/>
          <w:sz w:val="28"/>
          <w:szCs w:val="28"/>
          <w14:textFill>
            <w14:solidFill>
              <w14:schemeClr w14:val="tx1"/>
            </w14:solidFill>
          </w14:textFill>
        </w:rPr>
        <w:t>、在甲方的同一区域内有二个及以上的施工队伍进行交叉作业时，甲方负有统一协调管理责任。乙方应当对施工现场采取必要的安全防护措施，设置醒目的安全警示标志，以防闲杂人员进入。</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8" w:name="bookmark14"/>
      <w:r>
        <w:rPr>
          <w:rFonts w:hint="eastAsia" w:ascii="方正仿宋_GBK" w:hAnsi="方正仿宋_GBK" w:eastAsia="方正仿宋_GBK" w:cs="方正仿宋_GBK"/>
          <w:color w:val="000000" w:themeColor="text1"/>
          <w:sz w:val="28"/>
          <w:szCs w:val="28"/>
          <w14:textFill>
            <w14:solidFill>
              <w14:schemeClr w14:val="tx1"/>
            </w14:solidFill>
          </w14:textFill>
        </w:rPr>
        <w:t>5</w:t>
      </w:r>
      <w:bookmarkEnd w:id="48"/>
      <w:r>
        <w:rPr>
          <w:rFonts w:hint="eastAsia" w:ascii="方正仿宋_GBK" w:hAnsi="方正仿宋_GBK" w:eastAsia="方正仿宋_GBK" w:cs="方正仿宋_GBK"/>
          <w:color w:val="000000" w:themeColor="text1"/>
          <w:sz w:val="28"/>
          <w:szCs w:val="28"/>
          <w14:textFill>
            <w14:solidFill>
              <w14:schemeClr w14:val="tx1"/>
            </w14:solidFill>
          </w14:textFill>
        </w:rPr>
        <w:t>、甲、乙双方必须认真对本单位员工进行安全生产制度、安全技术知识和环境管理知识教育，增强员工法制观念，提高员工安全生产意识和自我保护技能，督促员工自觉遵守安全、环保生产法规、纪律、制度。</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49" w:name="bookmark15"/>
      <w:r>
        <w:rPr>
          <w:rFonts w:hint="eastAsia" w:ascii="方正仿宋_GBK" w:hAnsi="方正仿宋_GBK" w:eastAsia="方正仿宋_GBK" w:cs="方正仿宋_GBK"/>
          <w:color w:val="000000" w:themeColor="text1"/>
          <w:sz w:val="28"/>
          <w:szCs w:val="28"/>
          <w14:textFill>
            <w14:solidFill>
              <w14:schemeClr w14:val="tx1"/>
            </w14:solidFill>
          </w14:textFill>
        </w:rPr>
        <w:t>6</w:t>
      </w:r>
      <w:bookmarkEnd w:id="49"/>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50" w:name="bookmark16"/>
      <w:r>
        <w:rPr>
          <w:rFonts w:hint="eastAsia" w:ascii="方正仿宋_GBK" w:hAnsi="方正仿宋_GBK" w:eastAsia="方正仿宋_GBK" w:cs="方正仿宋_GBK"/>
          <w:color w:val="000000" w:themeColor="text1"/>
          <w:sz w:val="28"/>
          <w:szCs w:val="28"/>
          <w14:textFill>
            <w14:solidFill>
              <w14:schemeClr w14:val="tx1"/>
            </w14:solidFill>
          </w14:textFill>
        </w:rPr>
        <w:t>施工前，乙方应当组织对进场参加施工的人员进行安全、环保培训，确保合格后上岗；甲方应对乙方进场施工人员进行入厂前安全、环保生产告知教育，介绍施工中有关安全、消防、环保及厂区管理等要求。乙方若在施工过程中要增加或者减少项目工程施工人员，必须提前向甲方申报，甲方为增减的人员购买或拆除雇主责任保险，以及甲方对新进人员进行入厂前安全生产告知教育并备案。新进人员未经甲方购买保险和进行入厂前安全、环保生产告知教育的乙方进场施工人员，发生安全生产事故，责任由乙方全部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bookmarkEnd w:id="50"/>
      <w:r>
        <w:rPr>
          <w:rFonts w:hint="eastAsia" w:ascii="方正仿宋_GBK" w:hAnsi="方正仿宋_GBK" w:eastAsia="方正仿宋_GBK" w:cs="方正仿宋_GBK"/>
          <w:color w:val="000000" w:themeColor="text1"/>
          <w:sz w:val="28"/>
          <w:szCs w:val="28"/>
          <w14:textFill>
            <w14:solidFill>
              <w14:schemeClr w14:val="tx1"/>
            </w14:solidFill>
          </w14:textFill>
        </w:rPr>
        <w:t>、甲乙双方应经常联系，相互协助检查和处理工程施工中有关的安全、环保工作，共同预防事故发生。乙方人员施工中发生的不安全情况应及时向甲方通报，甲方安全管理部门有权对乙方实施安全监督、处罚。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51" w:name="bookmark17"/>
      <w:r>
        <w:rPr>
          <w:rFonts w:hint="eastAsia" w:ascii="方正仿宋_GBK" w:hAnsi="方正仿宋_GBK" w:eastAsia="方正仿宋_GBK" w:cs="方正仿宋_GBK"/>
          <w:color w:val="000000" w:themeColor="text1"/>
          <w:sz w:val="28"/>
          <w:szCs w:val="28"/>
          <w14:textFill>
            <w14:solidFill>
              <w14:schemeClr w14:val="tx1"/>
            </w14:solidFill>
          </w14:textFill>
        </w:rPr>
        <w:t>8</w:t>
      </w:r>
      <w:bookmarkEnd w:id="51"/>
      <w:r>
        <w:rPr>
          <w:rFonts w:hint="eastAsia" w:ascii="方正仿宋_GBK" w:hAnsi="方正仿宋_GBK" w:eastAsia="方正仿宋_GBK" w:cs="方正仿宋_GBK"/>
          <w:color w:val="000000" w:themeColor="text1"/>
          <w:sz w:val="28"/>
          <w:szCs w:val="28"/>
          <w14:textFill>
            <w14:solidFill>
              <w14:schemeClr w14:val="tx1"/>
            </w14:solidFill>
          </w14:textFill>
        </w:rPr>
        <w:t>、乙方在施工期间必须严格遵守和执行甲方在安全生产方面的有关规定，接受甲方的监督、检查和指导。甲方有协助乙方搞好安全生产、督促检查的责任。对于查出的事故隐患，乙方应当立即整改；当隐患存在现实危险时，应立即停止施工，撤出作业人员。对限期整改项目，需经甲方评估同意后，方可恢复作业；如乙方拒不整改，甲方有权责令乙方暂停施工或撤消合同,对此造成的损失均由乙方承担。乙方有权拒绝甲方违章指挥、强令冒险作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52" w:name="bookmark18"/>
      <w:r>
        <w:rPr>
          <w:rFonts w:hint="eastAsia" w:ascii="方正仿宋_GBK" w:hAnsi="方正仿宋_GBK" w:eastAsia="方正仿宋_GBK" w:cs="方正仿宋_GBK"/>
          <w:color w:val="000000" w:themeColor="text1"/>
          <w:sz w:val="28"/>
          <w:szCs w:val="28"/>
          <w14:textFill>
            <w14:solidFill>
              <w14:schemeClr w14:val="tx1"/>
            </w14:solidFill>
          </w14:textFill>
        </w:rPr>
        <w:t>9</w:t>
      </w:r>
      <w:bookmarkEnd w:id="52"/>
      <w:r>
        <w:rPr>
          <w:rFonts w:hint="eastAsia" w:ascii="方正仿宋_GBK" w:hAnsi="方正仿宋_GBK" w:eastAsia="方正仿宋_GBK" w:cs="方正仿宋_GBK"/>
          <w:color w:val="000000" w:themeColor="text1"/>
          <w:sz w:val="28"/>
          <w:szCs w:val="28"/>
          <w14:textFill>
            <w14:solidFill>
              <w14:schemeClr w14:val="tx1"/>
            </w14:solidFill>
          </w14:textFill>
        </w:rPr>
        <w:t>、施工区域范围各类安全防护设施、安全警示标志和接地线等不得擅自拆除、变动。如确实需要拆除、变动的，必须经施工负责人和甲、乙双方指派的安全管理人员书面同意，并办妥必要、可靠的安全措施后方进行。任何一方人员擅自拆除、变动安全防护设施、警示标志和接地线所造成的后果，均由该方负责。</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53" w:name="bookmark19"/>
      <w:r>
        <w:rPr>
          <w:rFonts w:hint="eastAsia" w:ascii="方正仿宋_GBK" w:hAnsi="方正仿宋_GBK" w:eastAsia="方正仿宋_GBK" w:cs="方正仿宋_GBK"/>
          <w:color w:val="000000" w:themeColor="text1"/>
          <w:sz w:val="28"/>
          <w:szCs w:val="28"/>
          <w14:textFill>
            <w14:solidFill>
              <w14:schemeClr w14:val="tx1"/>
            </w14:solidFill>
          </w14:textFill>
        </w:rPr>
        <w:t>1</w:t>
      </w:r>
      <w:bookmarkEnd w:id="53"/>
      <w:r>
        <w:rPr>
          <w:rFonts w:hint="eastAsia" w:ascii="方正仿宋_GBK" w:hAnsi="方正仿宋_GBK" w:eastAsia="方正仿宋_GBK" w:cs="方正仿宋_GBK"/>
          <w:color w:val="000000" w:themeColor="text1"/>
          <w:sz w:val="28"/>
          <w:szCs w:val="28"/>
          <w14:textFill>
            <w14:solidFill>
              <w14:schemeClr w14:val="tx1"/>
            </w14:solidFill>
          </w14:textFill>
        </w:rPr>
        <w:t>0、甲方对动火作业、吊装作业、涂装作业、有限空间作业等危险作业实行审批制，乙方应按甲方要求提交危险作业申请，经甲方审批后方可实施。甲、乙双方必须严格执行危险作业的操作规程，落实现场监管措施。</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乙方在执行有可能发生火灾、爆炸、触电、高空坠落、中毒、窒息、机械伤害、烧烫伤等人身伤亡事故和可能引起严重设备事故任务时，乙方在施工前应主动书面通知甲方，甲方事先向乙方进行详细的安全技术交底，要求乙方制定施工安全技术措施，经甲方审查合格后监督乙方实施，否则一切后果乙方自负。</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乙方在施工期间，借用甲方设备的，甲、乙双方有关人员办理借用手续。甲方应保证借出的设备完好并符合安全要求，设备的使用（包括有特殊使用要求说明的）应当交代清楚。乙方必须进行检验，一经接收，设备的保管应由乙方负责，并严格执行安全操作规程。在使用过程中，因使用操作不当而造成伤亡事故，责任由乙方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54" w:name="bookmark20"/>
      <w:r>
        <w:rPr>
          <w:rFonts w:hint="eastAsia" w:ascii="方正仿宋_GBK" w:hAnsi="方正仿宋_GBK" w:eastAsia="方正仿宋_GBK" w:cs="方正仿宋_GBK"/>
          <w:color w:val="000000" w:themeColor="text1"/>
          <w:sz w:val="28"/>
          <w:szCs w:val="28"/>
          <w14:textFill>
            <w14:solidFill>
              <w14:schemeClr w14:val="tx1"/>
            </w14:solidFill>
          </w14:textFill>
        </w:rPr>
        <w:t>1</w:t>
      </w:r>
      <w:bookmarkEnd w:id="54"/>
      <w:r>
        <w:rPr>
          <w:rFonts w:hint="eastAsia" w:ascii="方正仿宋_GBK" w:hAnsi="方正仿宋_GBK" w:eastAsia="方正仿宋_GBK" w:cs="方正仿宋_GBK"/>
          <w:color w:val="000000" w:themeColor="text1"/>
          <w:sz w:val="28"/>
          <w:szCs w:val="28"/>
          <w14:textFill>
            <w14:solidFill>
              <w14:schemeClr w14:val="tx1"/>
            </w14:solidFill>
          </w14:textFill>
        </w:rPr>
        <w:t>3、甲方不得指派乙方人员从事合同外的施工任务，乙方应拒绝执行合同外的施工任务。</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bookmarkStart w:id="55" w:name="bookmark21"/>
      <w:r>
        <w:rPr>
          <w:rFonts w:hint="eastAsia" w:ascii="方正仿宋_GBK" w:hAnsi="方正仿宋_GBK" w:eastAsia="方正仿宋_GBK" w:cs="方正仿宋_GBK"/>
          <w:color w:val="000000" w:themeColor="text1"/>
          <w:sz w:val="28"/>
          <w:szCs w:val="28"/>
          <w14:textFill>
            <w14:solidFill>
              <w14:schemeClr w14:val="tx1"/>
            </w14:solidFill>
          </w14:textFill>
        </w:rPr>
        <w:t>1</w:t>
      </w:r>
      <w:bookmarkEnd w:id="55"/>
      <w:r>
        <w:rPr>
          <w:rFonts w:hint="eastAsia" w:ascii="方正仿宋_GBK" w:hAnsi="方正仿宋_GBK" w:eastAsia="方正仿宋_GBK" w:cs="方正仿宋_GBK"/>
          <w:color w:val="000000" w:themeColor="text1"/>
          <w:sz w:val="28"/>
          <w:szCs w:val="28"/>
          <w14:textFill>
            <w14:solidFill>
              <w14:schemeClr w14:val="tx1"/>
            </w14:solidFill>
          </w14:textFill>
        </w:rPr>
        <w:t>4、贯彻谁施工谁负责的安全管理原则，施工期间发生伤亡事故，双方应立即启动事故应急救援预案，开展紧急抢救伤员和保护现场，按照有关生产安全事故报告规定，在事故发生后及时报告所在地安全生产监督管理部门和公安、消防等有关部门。</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15、按月发放民工工资，根据节点完成情况，支付每一期工程款时，凭民工工资发放表进行审批，杜绝拖欠民工工资的违法行为。</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16、甲方为乙方购买了雇主责任保险，被保险人（施工人员）的故意行为、重大过失行为、特殊岗位无证操作、无证操作特种设备、罚款、精神损害、与工作无关行为造成伤害，以及雇主责任保险条款规定的责任免除条款（包含职业病），不在雇主责任保险范围内，不负责赔偿。</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二、甲方其他安全、环保管理责任和权利</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1、宣传贯彻国家安全生产法律、法规，坚持“安全第一、预防为主、综合治理”的方针，对工程项目履行监督管理责任。因甲方及甲方人员责任发生的事故，责任由甲方承担。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2、建立和完善安全生产环境保护规章制度、操作规程、管理办法，并督促乙方贯彻实施。</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sz w:val="28"/>
          <w:szCs w:val="28"/>
        </w:rPr>
        <w:t>应向乙方提供必要的作业环境、设施设备、电源、气源、水源、劳动防护用品（合同约定由乙方自行解决的安全及职业健康防护用品，由乙方自行负责），并做到安全可靠</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4、协助乙方处理安全生产过程中出现的不安全因素及事故处理。</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5、审核乙方单位资质、人员身份信息，存档备案。</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6、配合乙方对上岗人员和工程中途更换人员进行岗前安全环保培训教育，经考核合格后，方能上岗，以及保险购买。</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有权提醒乙方加强对员工的日常安全学习教育，开好班前作业会，正确操作设施设备、工属具，坚持每日安全排查制度，坚持在作业前对皮管、手线、工具、作业环境进行安全检查，正确穿戴好劳动防护用品，达到本质安全作业条件。</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对乙方施工安全、消防、环保工作，有督促检查、纠正违章的权利。对乙方违章指挥、违规冒险作业，甲方有权责令停止施工作业，并约谈乙方主要负责人；对乙方人员违反有关安全生产相关规定、制度、操作规程的行为，有权进行教育、给予经济处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9、对乙方使用不符合合同规定、未办理相关手续、未经岗前培训的人员有权责令其停止作业。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10、甲方为施工单位购买的雇主责任保险仅作为乙方工伤事故赔付后差额部分的辅助保险。</w:t>
      </w:r>
    </w:p>
    <w:p>
      <w:pPr>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11、</w:t>
      </w:r>
      <w:r>
        <w:rPr>
          <w:rFonts w:hint="eastAsia" w:ascii="方正仿宋_GBK" w:hAnsi="方正仿宋_GBK" w:eastAsia="方正仿宋_GBK" w:cs="方正仿宋_GBK"/>
          <w:sz w:val="28"/>
          <w:szCs w:val="28"/>
        </w:rPr>
        <w:t>甲方应向乙方提供健全的安全生产管理机构和专职管理人员，建立安全生产管理制度、操作规程，安全、环保培训，危险源告知</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三、乙方其他安全、环保管理责任和权利</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1、按照“谁承包、谁负责”原则，乙方负责人对所承包工程的安全、环保生产全面负责。</w:t>
      </w:r>
      <w:r>
        <w:rPr>
          <w:rFonts w:hint="eastAsia" w:ascii="方正仿宋_GBK" w:hAnsi="方正仿宋_GBK" w:eastAsia="方正仿宋_GBK" w:cs="方正仿宋_GBK"/>
          <w:sz w:val="28"/>
          <w:szCs w:val="28"/>
        </w:rPr>
        <w:t>并与甲方共同贯彻执行国家有关安全生产的法律、法规，遵守甲方的安全管理和劳动保护管理制度，</w:t>
      </w:r>
      <w:r>
        <w:rPr>
          <w:rFonts w:hint="eastAsia" w:ascii="方正仿宋_GBK" w:hAnsi="方正仿宋_GBK" w:eastAsia="方正仿宋_GBK" w:cs="方正仿宋_GBK"/>
          <w:color w:val="000000" w:themeColor="text1"/>
          <w:sz w:val="28"/>
          <w:szCs w:val="28"/>
          <w14:textFill>
            <w14:solidFill>
              <w14:schemeClr w14:val="tx1"/>
            </w14:solidFill>
          </w14:textFill>
        </w:rPr>
        <w:t>乙方不得将施工项目转包或分包。因乙方及乙方施工人员责任发生事故，责任由乙方承担。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2、精心组织施工，教育、指导、监督员工严格遵守安全和环保规章制度和操作规程，严防事故发生。</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负责组织好员工的日常安全、环保学习教育，召开好班前作业会，做好日排查，纠正违章，及时消除不安全因素；提供符合国家标准的劳动防护器材和用品，教育、指导、督促员工正确使用和穿戴。对生产中出现的不安全因素，自行不能整改的，及时向甲方报告，未整改前，应停止作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4、乙方特种作业人员必须按照国家有关规定取得相应资格，持证上岗。特种作业人员未持证上岗，行政处罚、事故责任由乙方承担。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5、乙方施工人员应对所在的施工区域、作业环境及所使用的设施、设备、工器具等进行认真检查，发现隐患立即停止施工，并经落实整改后方准继续施工。</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6、工程使用易燃、易爆、腐蚀等危化物品及管制物品要妥善保管，贴上安全标识，拉好警戒线，严禁随意堆放。</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在作业区域内产生的一般废物（包装箱、塑料袋、焊丝盘、废电缆、废钢沙及焊渣）、危险废物（油桶、油漆桶、油漆渣、废油、含油废物）、余料、垃圾等实行分类集中堆放，不得随意丢弃，下班前清运到指定的废物存放点，必须做到工完场清并做好记录，杜绝环保污染事件发生。</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8、按甲方规定的车辆通行线路、限速标志、安全提示行车，严防厂内交通事故；在甲方划定的停车区域规范停车。</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9、所有人员进入施工现场必须戴好安全帽。非施工人员严禁进入生产工作现场，禁止将小孩带人生产工作场所。</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10、乙方参加施工人员要求身体健康，年龄必须年满18周岁，小于65周岁，入场前，乙方必须为每位员工购置必须的劳保用品。</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11、乙方进场施工前，必须向甲方提供企业及员工的基本信息，包括企业工商营业执照、资质证书、身份证复印件、体检报告、特种作业操作证复印件、特种设备操作证复印件等相关证件。</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在生产过程中发生微、轻、重等各类伤害事故，应立即上报安全环保部进行事故现场确认（30分钟以内），不得破坏事故现场，便于联系保险公司对事故现场进行事故确认并取证留底，并积极配合安全环保部进行事故调查；如超过24小时未上报保险公司造成脱保现象，由施工单位自行负责。</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13、乙方应按相关规定为所属人员购买保险，甲方购买的雇主责任保险仅作为乙方所属人员的辅助保险。</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14、乙方不得使用65岁（65岁以上）的工人，如乙方用65岁（65岁以上）的工人发生一切事故，由乙方负责解决、处理并承担经济和法律责任。</w:t>
      </w:r>
    </w:p>
    <w:p>
      <w:pPr>
        <w:spacing w:line="288" w:lineRule="auto"/>
        <w:ind w:firstLine="560" w:firstLineChars="200"/>
        <w:textAlignment w:val="baseline"/>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15、乙方</w:t>
      </w:r>
      <w:r>
        <w:rPr>
          <w:rFonts w:hint="eastAsia" w:ascii="方正仿宋_GBK" w:hAnsi="方正仿宋_GBK" w:eastAsia="方正仿宋_GBK" w:cs="方正仿宋_GBK"/>
          <w:sz w:val="28"/>
          <w:szCs w:val="28"/>
        </w:rPr>
        <w:t>生产过程中产生的危化废物、固化废物、余料、垃圾等，要及时清理到指定位置堆放，不许随意丢弃排放，一旦查出，必须重罚处理。</w:t>
      </w:r>
    </w:p>
    <w:p>
      <w:pPr>
        <w:rPr>
          <w:rFonts w:eastAsia="方正仿宋_GBK"/>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四、其他</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本协议书一式肆份，甲方存叁份、乙方存一份，经双方签字、盖章后生效。</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  月  日                        年  月  日</w:t>
      </w:r>
    </w:p>
    <w:p>
      <w:pPr>
        <w:pStyle w:val="11"/>
        <w:spacing w:line="480" w:lineRule="exact"/>
        <w:ind w:left="0" w:leftChars="0"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56" w:name="_Toc17201527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合同附件六 </w:t>
      </w:r>
    </w:p>
    <w:p>
      <w:pPr>
        <w:pStyle w:val="11"/>
        <w:spacing w:line="480" w:lineRule="exact"/>
        <w:ind w:firstLine="2240" w:firstLineChars="700"/>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外包工程项目职业健康安全管理协议</w:t>
      </w:r>
      <w:bookmarkEnd w:id="56"/>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乙方（工程承包方）：XXXXX有限公司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轮机安装劳务工程</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为贯彻“预防为主、防治结合”的职业病防治方针，根据《中华人民共和国职业病防治法》等法律法规规定，明确双方的职业病防治责任，确保职业安全，双方在签订工程承包合同时，同时签订本协议。</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一、甲乙双方协同配合管理责任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1、甲、乙双方必须严格执行有关职业病防治相关的法律、法规、规章、强制标准和安全操作规程。</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2、甲、乙双方都应指派专人对职业卫生工作进行管理，乙方必须指定兼职职业卫生管理员。施工期间，负责本工程项目的日常职业健康管理工作。</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甲方对乙方负责人和工程技术人员根据工程项目内容、特点进行职业健康安全技术交底。乙方应详细了解工程项目的职业危害因素、各类职业防护安全措施情况及注意事项后，根据相关职业卫生安全技术措施，并严格执行。</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4、甲、乙双方必须认真对本单位员工进行职业病防治知识教育，增强员工职业病防治意识，提高员工自我保护技能，督促员工自觉佩戴符合相关标准的个体防护用品。</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进场前，乙方应当组织对进场参加施工的人员进行岗前职业健康检查并向甲方提供员工的职业健康检查表复印件；甲方应对乙方进场施工人员进行职业病防治知识安全教育培训及岗位风险告知，介绍施工中有关职业病防治管理的相关要求。乙方若在施工中途要增加进场参加施工人员，必须提供员工的职业健康检查报告（复印件），同时向甲方申报。未提供职业健康检查报告的乙方进场施工人员，发生职业病，责任由乙方全部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7、甲乙双方应经常联系，相互协助检查和处理工程施工中有关的职业病防治工作，共同预防职业危害事件发生。甲方职业卫生安全管理部门有权对乙方实施安全监督、违约考核。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8、乙方在施工期间必须严格遵守和执行甲方在职业卫生安全方面的有关规定，接受甲方的监督、检查和指导。甲方有协助乙方搞好职业病防治工作的责任。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乙方在执行有可能发生职业危害任务时，乙方在施工前应主动书面通知甲方，甲方事先向乙方进行详细的职业卫生安全技术交底，要求乙方制定施工安全技术措施，经甲方审查合格后监督乙方实施，否则一切后果乙方自负。</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二、甲方职业卫生管理责任和权利</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1、宣传贯彻国家职业病防治法律、法规，坚持“预防为主、防治结合”的方针，对工程项目履行职业病防治监督管理责任。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2、负责审核乙方单位资质、人员身份信息，存档备案。</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3、按照职业病防治法等法律法规的相关要求，建立和完善职业卫生规章制度、操作规程、管理办法，并督促乙方贯彻实施。</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4、负责对工作场所职业病危害因素进行定期检测。</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5、对施工单位员工进行职业卫生安全教育培训。</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6、监督乙方加强对员工的日常职业病防治管理，开好班前作业会，正确佩戴符合相关标准的个体防护用品，达到本质安全作业条件。</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7、对乙方职业病防治工作，有督促检查、纠正违章的权利。对乙方人员违反有关职业病防治相关规定、制度、操作规程的行为，有权进行教育、给予违约考核。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8、对施工单位的劳动防护用品购买、发放和使用进行监督。</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9、组织、督促施工单位对本单位的施工作业人员开展职业健康检查（岗前、在岗、离岗）工作。</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三、乙方职业卫生管理责任和权利</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1、乙方进场施工前，必须向甲方提供企业及员工的基本信息，包括企业工商营业执照、资质证书、身份证复印件、职业健康检查报告复印件等相关证件。</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2、按照“谁承包、谁负责”原则，乙方负责人对所承包工程的职业病防治工作全面负责。因乙方及乙方施工人员的责任导致发生职业病，责任由乙方承担。</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3、精心组织施工，教育、指导、监督员工严格遵守职业卫生规章制度和操作规程，严防职业危害事故发生。</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负责组织好员工的日常职业病防治教育，召开好班前作业会，做好日排查，纠正违章，及时消除不安全因素；提供符合国家标准的劳动防护器材和用品，教育、指导、督促员工正确使用和穿戴。对生产中出现的职业病危害因素，自行不能整改的，及时向甲方报告，未整改前，应停止作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5、所有施工人员进入施工现场作业时必须戴好个人防护用品。非施工人员严禁进入生产工作现场。</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6、乙方参加施工人员要求身体健康，年龄必须年满18周岁，小于65周岁。工作中，乙方必须为接触职业危害的员工发放符合相关标准的职业病防护用品，督促其正确佩戴。</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7、乙方不得使用有职业禁忌症或者患有职业病的工人，如乙方不听招呼，坚持使用，后果由乙方自行负责解决、处理并承担经济和法律责任。</w:t>
      </w:r>
    </w:p>
    <w:p>
      <w:pPr>
        <w:rPr>
          <w:rFonts w:eastAsia="方正仿宋_GBK"/>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四、其他</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本协议书一式肆份，甲方存叁份、乙方存一份，经双方签字、盖章后生效。</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left="0" w:leftChars="0"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bookmarkStart w:id="57" w:name="_Toc172015274"/>
      <w:r>
        <w:rPr>
          <w:rFonts w:hint="eastAsia" w:ascii="方正仿宋_GBK" w:hAnsi="方正仿宋_GBK" w:eastAsia="方正仿宋_GBK" w:cs="方正仿宋_GBK"/>
          <w:color w:val="000000" w:themeColor="text1"/>
          <w:sz w:val="28"/>
          <w:szCs w:val="28"/>
          <w14:textFill>
            <w14:solidFill>
              <w14:schemeClr w14:val="tx1"/>
            </w14:solidFill>
          </w14:textFill>
        </w:rPr>
        <w:t>合同附件七</w:t>
      </w:r>
    </w:p>
    <w:p>
      <w:pPr>
        <w:pStyle w:val="11"/>
        <w:spacing w:line="480" w:lineRule="exact"/>
        <w:ind w:firstLine="1960" w:firstLineChars="7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2"/>
          <w:szCs w:val="32"/>
          <w14:textFill>
            <w14:solidFill>
              <w14:schemeClr w14:val="tx1"/>
            </w14:solidFill>
          </w14:textFill>
        </w:rPr>
        <w:t xml:space="preserve"> 外包工程廉政协议</w:t>
      </w:r>
      <w:bookmarkEnd w:id="57"/>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甲方（工程发包方）：重庆中江船业有限公司</w:t>
      </w: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乙方（工程承包方）：XX有限公司   </w:t>
      </w:r>
    </w:p>
    <w:p>
      <w:pPr>
        <w:pStyle w:val="11"/>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轮机安装劳务工程</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为加强工程中的廉政建设，规范项目承发包双方的各项活动，防止发生各种谋取不正当利益的违法违纪行为，特订立本廉政协议。</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第一条：甲乙双方的责任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（一）应严格遵守国家关于市场准入、项目招标投标、施工安装和市场活动等有关法律、法规，相关政策，以及廉政建设的各项规定。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（二）严格执行项目承发包合同文件，自觉按合同办事。</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（三）业务活动必须坚持依法合规、公开公平、诚信透明的原则（除法律法规另有规定者外），不得为获取不正当的利益，损害国家和对方利益。</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（四）发现对方在业务活动中有违规、违纪、违法行为的，应及时提醒对方，情节严重的，应向其上级主管部门或纪检监察、司法等有关机关举报。</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第二条：甲方的责任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甲方的领导和从事该工程项目的工作人员，在工程的事前、事中、事后应遵守以下规定：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（一）不准向乙方和相关单位索要或接受回扣、礼金、有价证券、贵重物品和好处费、感谢费等。</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（二）不准在乙方和相关单位报销任何应由甲方或个人支付的费用。</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（三）不准要求、暗示和接受乙方和相关单位为个人装修住房、婚丧嫁娶、配偶子女的工作安排以及出国（境）、旅游等提供方便。</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（四）不准参加有可能影响公正执行公务的乙方和相关单位的宴请和健身、娱乐等活动。</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第三条：乙方的责任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应与甲方保持正常的业务交往，按照有关法律法规和程序开展业务工作，严格执行工程的有关方针、政策，尤其是有关船舶建造的强制性标准和规范，并遵守以下规定：</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（一）不准以任何理由向甲方、相关单位及其工作人员索要、接受或赠送礼金、有价证券、贵重物品和回扣、好处费、感谢费等。</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（二）不准以任何理由为甲方和相关单位报销应由对方或个人支付的费用。</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（三）不准接受或暗示为甲方、相关单位或个人装修住房、婚丧嫁娶、配偶子女的工作安排以及出国（境）、旅游等提供方便。</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（四）不准以任何理由为甲方、相关单位或个人组织有可能影响公正执行公务的宴请、健身、娱乐等活动。</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第四条：违约责任</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甲方工作人员有违反本协议第一、二条责任行为的，乙方举报后，按照管理权限，依据有关法律法规和规定给予党纪、政纪处分或组织处理；涉嫌犯罪的，移交司法机关追究刑事责任；给乙方单位造成经济损失的，应予以赔偿。</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乙方工作人员有违反本协议第一、三条责任行为的，甲方举报后，按照管理权限，依据有关法律法规和规定给予党纪、政纪处分或组织处理；涉嫌犯罪的，移交司法机关追究刑事责任；给甲方造成经济损失的，应予以赔偿。</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乙方工作人员有违反本协议第一、三条责任行为的，甲方指出后拒不改正的，纳入甲方承包商“黑名单”，乙方不得再次承接甲方项目。</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第五条  本协议作为工程劳务合同的附件，与工程劳务合同具有同等法律效力。</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第六条：本协议一式肆份，甲方持叁份，乙方持壹份，具有同等法律效力。</w:t>
      </w:r>
    </w:p>
    <w:p>
      <w:pPr>
        <w:pStyle w:val="11"/>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甲方（签章）：                               乙方（签章）：</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代表（签字）：                               代表（签字）：</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 月 日</w:t>
      </w:r>
    </w:p>
    <w:p>
      <w:pPr>
        <w:pStyle w:val="11"/>
        <w:spacing w:line="4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pStyle w:val="11"/>
        <w:spacing w:line="480" w:lineRule="exact"/>
        <w:ind w:firstLine="560" w:firstLineChars="200"/>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p>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第五章  比选参选书</w:t>
      </w:r>
    </w:p>
    <w:p>
      <w:pPr>
        <w:pStyle w:val="6"/>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1、根据已收到的</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劳务工程比选文件，我单位经考察现场和研究上述工程比选文件的竞标须知、技术规范、图纸工程量和其他有关文件后，我方愿意在比选人提供的上述技术规范、图纸、工程量的条件下提供服务安装服务。</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2、我方愿以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元/艘承接该工程 ；</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3、一旦我方中标，我方保证在</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日开工，</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日竣工，即</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天（日历天）内竣工并移交整个工程，工程质量等级</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4、我方同意所递交的竞标文件在“竞标须知”规定的投标有效期内有效，在此期间内我方的竞标可能中标，我方将受此约束。</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6、除非另外达成协议并生效，你方的中标通知书和本竞标文件将构成约束我们双方的合同。</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bookmarkStart w:id="58" w:name="OLE_LINK5"/>
      <w:r>
        <w:rPr>
          <w:rFonts w:hint="eastAsia" w:ascii="方正仿宋_GBK" w:hAnsi="方正仿宋_GBK" w:eastAsia="方正仿宋_GBK" w:cs="方正仿宋_GBK"/>
          <w:color w:val="000000" w:themeColor="text1"/>
          <w:sz w:val="28"/>
          <w:szCs w:val="28"/>
          <w14:textFill>
            <w14:solidFill>
              <w14:schemeClr w14:val="tx1"/>
            </w14:solidFill>
          </w14:textFill>
        </w:rPr>
        <w:t>我方同意</w:t>
      </w:r>
      <w:bookmarkEnd w:id="58"/>
      <w:r>
        <w:rPr>
          <w:rFonts w:hint="eastAsia" w:ascii="方正仿宋_GBK" w:hAnsi="方正仿宋_GBK" w:eastAsia="方正仿宋_GBK" w:cs="方正仿宋_GBK"/>
          <w:color w:val="000000" w:themeColor="text1"/>
          <w:sz w:val="28"/>
          <w:szCs w:val="28"/>
          <w14:textFill>
            <w14:solidFill>
              <w14:schemeClr w14:val="tx1"/>
            </w14:solidFill>
          </w14:textFill>
        </w:rPr>
        <w:t>按合同金额的5%提交履约保证金。</w:t>
      </w:r>
    </w:p>
    <w:p>
      <w:pPr>
        <w:pStyle w:val="6"/>
        <w:spacing w:line="480" w:lineRule="exact"/>
        <w:ind w:firstLine="560" w:firstLineChars="200"/>
        <w:rPr>
          <w:rFonts w:ascii="方正仿宋_GBK" w:hAnsi="方正仿宋_GBK" w:eastAsia="方正仿宋_GBK" w:cs="方正仿宋_GBK"/>
          <w:color w:val="000000" w:themeColor="text1"/>
          <w:sz w:val="28"/>
          <w:szCs w:val="28"/>
          <w:u w:val="dotted"/>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8、我方同意</w:t>
      </w:r>
      <w:r>
        <w:rPr>
          <w:rFonts w:hint="eastAsia" w:ascii="方正仿宋_GBK" w:hAnsi="方正仿宋_GBK" w:eastAsia="方正仿宋_GBK" w:cs="方正仿宋_GBK"/>
          <w:color w:val="000000" w:themeColor="text1"/>
          <w:sz w:val="28"/>
          <w:szCs w:val="28"/>
          <w:u w:val="dotted"/>
          <w14:textFill>
            <w14:solidFill>
              <w14:schemeClr w14:val="tx1"/>
            </w14:solidFill>
          </w14:textFill>
        </w:rPr>
        <w:t>提供全部参加该工程人员的意外险的保单额为100万元/人。</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竞标单位：（名称及盖章）</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单位地址：</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法定代表人或委托代理人：（签字、盖章）</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电话及传真：</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jc w:val="center"/>
        <w:rPr>
          <w:rFonts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rPr>
          <w:rFonts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法定代表人资格证明书</w:t>
      </w:r>
    </w:p>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p>
    <w:p>
      <w:pPr>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         性别：         年龄：       职务：</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系（单位名称）的法定代表人。为施工、竣工和保修</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轮机安装劳务工程，签署上述工程的竞标文件、签署合同和处理与之相关的一切事务。</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特此证明</w:t>
      </w:r>
    </w:p>
    <w:p>
      <w:pPr>
        <w:spacing w:line="360" w:lineRule="auto"/>
        <w:ind w:firstLine="4984" w:firstLineChars="1780"/>
        <w:rPr>
          <w:rFonts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4984" w:firstLineChars="178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4900" w:firstLineChars="175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555"/>
        <w:jc w:val="center"/>
        <w:rPr>
          <w:rFonts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授权委托书</w:t>
      </w:r>
    </w:p>
    <w:p>
      <w:pPr>
        <w:pStyle w:val="11"/>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本授权委托书申明：我</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的法定代表人，现授权委托</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为我单位的代理人，并以本单位的名义参加重庆中江船业有限公司的</w:t>
      </w:r>
      <w:r>
        <w:rPr>
          <w:rFonts w:hint="eastAsia" w:ascii="方正仿宋_GBK" w:hAnsi="方正仿宋_GBK" w:eastAsia="方正仿宋_GBK" w:cs="方正仿宋_GBK"/>
          <w:bCs/>
          <w:sz w:val="28"/>
          <w:szCs w:val="28"/>
          <w:lang w:val="en-US" w:eastAsia="zh-CN"/>
        </w:rPr>
        <w:t>130m集散货船（Ⅲ型）（ZJ25-J1331）</w:t>
      </w:r>
      <w:r>
        <w:rPr>
          <w:rFonts w:hint="eastAsia" w:ascii="方正仿宋_GBK" w:hAnsi="方正仿宋_GBK" w:eastAsia="方正仿宋_GBK" w:cs="方正仿宋_GBK"/>
          <w:color w:val="000000" w:themeColor="text1"/>
          <w:sz w:val="28"/>
          <w:szCs w:val="28"/>
          <w14:textFill>
            <w14:solidFill>
              <w14:schemeClr w14:val="tx1"/>
            </w14:solidFill>
          </w14:textFill>
        </w:rPr>
        <w:t>轮机安装劳务工程的竞标活动。代理人在开标、评标、合同谈判过程中所签署的一切文件和处理与之有关的一切事务，我均予以承认。</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代理人无转委托权。</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特此委托。</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法定代表人：（签字、盖章）</w:t>
      </w:r>
    </w:p>
    <w:p>
      <w:pPr>
        <w:spacing w:line="360" w:lineRule="auto"/>
        <w:ind w:firstLine="555"/>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委托代理人：（签字、盖章）</w:t>
      </w:r>
    </w:p>
    <w:p>
      <w:pPr>
        <w:spacing w:line="360" w:lineRule="auto"/>
        <w:ind w:firstLine="5964" w:firstLineChars="2130"/>
        <w:rPr>
          <w:rFonts w:asciiTheme="majorEastAsia" w:hAnsiTheme="majorEastAsia" w:eastAsiaTheme="majorEastAsia"/>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2891" w:firstLineChars="900"/>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第六章  辅助资料表</w:t>
      </w:r>
    </w:p>
    <w:p>
      <w:pPr>
        <w:pStyle w:val="6"/>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表1  竞标单位基本情况表</w:t>
      </w:r>
    </w:p>
    <w:tbl>
      <w:tblPr>
        <w:tblStyle w:val="16"/>
        <w:tblW w:w="906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716"/>
        <w:gridCol w:w="569"/>
        <w:gridCol w:w="1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06" w:hRule="atLeast"/>
          <w:jc w:val="center"/>
        </w:trPr>
        <w:tc>
          <w:tcPr>
            <w:tcW w:w="1539" w:type="dxa"/>
            <w:gridSpan w:val="2"/>
            <w:shd w:val="clear" w:color="auto" w:fill="auto"/>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单位名称</w:t>
            </w:r>
          </w:p>
        </w:tc>
        <w:tc>
          <w:tcPr>
            <w:tcW w:w="7523" w:type="dxa"/>
            <w:gridSpan w:val="6"/>
            <w:shd w:val="clear" w:color="auto" w:fill="auto"/>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8" w:hRule="atLeast"/>
          <w:jc w:val="center"/>
        </w:trPr>
        <w:tc>
          <w:tcPr>
            <w:tcW w:w="1539"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注册地址</w:t>
            </w:r>
          </w:p>
        </w:tc>
        <w:tc>
          <w:tcPr>
            <w:tcW w:w="3669"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jc w:val="center"/>
        </w:trPr>
        <w:tc>
          <w:tcPr>
            <w:tcW w:w="1539" w:type="dxa"/>
            <w:gridSpan w:val="2"/>
            <w:vMerge w:val="restart"/>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联系方式</w:t>
            </w:r>
          </w:p>
        </w:tc>
        <w:tc>
          <w:tcPr>
            <w:tcW w:w="1065"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2604"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 w:hRule="atLeast"/>
          <w:jc w:val="center"/>
        </w:trPr>
        <w:tc>
          <w:tcPr>
            <w:tcW w:w="1539" w:type="dxa"/>
            <w:gridSpan w:val="2"/>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65"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传  真</w:t>
            </w:r>
          </w:p>
        </w:tc>
        <w:tc>
          <w:tcPr>
            <w:tcW w:w="2604"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电子邮箱</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1"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企业性质</w:t>
            </w:r>
          </w:p>
        </w:tc>
        <w:tc>
          <w:tcPr>
            <w:tcW w:w="7536" w:type="dxa"/>
            <w:gridSpan w:val="7"/>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3"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w:t>
            </w:r>
          </w:p>
        </w:tc>
        <w:tc>
          <w:tcPr>
            <w:tcW w:w="1078"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47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技术职称</w:t>
            </w:r>
          </w:p>
        </w:tc>
        <w:tc>
          <w:tcPr>
            <w:tcW w:w="171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569"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技术负责人</w:t>
            </w:r>
          </w:p>
        </w:tc>
        <w:tc>
          <w:tcPr>
            <w:tcW w:w="1078" w:type="dxa"/>
            <w:gridSpan w:val="2"/>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47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技术职称</w:t>
            </w:r>
          </w:p>
        </w:tc>
        <w:tc>
          <w:tcPr>
            <w:tcW w:w="171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569"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w:t>
            </w:r>
          </w:p>
        </w:tc>
        <w:tc>
          <w:tcPr>
            <w:tcW w:w="156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成立时间</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4985" w:type="dxa"/>
            <w:gridSpan w:val="4"/>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员工总人数：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企业资质等级</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restart"/>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其中</w:t>
            </w: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高级职称人员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营业执照号</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中级职称人员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注册资金</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初级职称人员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开户银行</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技术工人</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帐  号</w:t>
            </w:r>
          </w:p>
        </w:tc>
        <w:tc>
          <w:tcPr>
            <w:tcW w:w="2551" w:type="dxa"/>
            <w:gridSpan w:val="3"/>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其他人员</w:t>
            </w:r>
          </w:p>
        </w:tc>
        <w:tc>
          <w:tcPr>
            <w:tcW w:w="2138" w:type="dxa"/>
            <w:gridSpan w:val="2"/>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经营范围</w:t>
            </w:r>
          </w:p>
        </w:tc>
        <w:tc>
          <w:tcPr>
            <w:tcW w:w="7536" w:type="dxa"/>
            <w:gridSpan w:val="7"/>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c>
          <w:tcPr>
            <w:tcW w:w="7536" w:type="dxa"/>
            <w:gridSpan w:val="7"/>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说明：本表后应附投标单位的处于有效期内的营业执照、资质证书、安全生产许可证、质量认证文件等的复印件，并加盖公章。</w:t>
      </w:r>
    </w:p>
    <w:p>
      <w:pPr>
        <w:pStyle w:val="6"/>
        <w:spacing w:line="360" w:lineRule="auto"/>
        <w:ind w:firstLine="2389" w:firstLineChars="85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表2  拟任命的项目经理简历表</w:t>
      </w:r>
    </w:p>
    <w:tbl>
      <w:tblPr>
        <w:tblStyle w:val="17"/>
        <w:tblpPr w:leftFromText="180" w:rightFromText="180" w:vertAnchor="text" w:horzAnchor="page" w:tblpX="1623" w:tblpY="840"/>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性别</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年龄</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学历</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职称</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专业</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861" w:type="dxa"/>
            <w:gridSpan w:val="2"/>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从事项目经理年限</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担任项目经理经历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时间</w:t>
            </w:r>
          </w:p>
        </w:tc>
        <w:tc>
          <w:tcPr>
            <w:tcW w:w="1853"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合同金额</w:t>
            </w:r>
          </w:p>
        </w:tc>
        <w:tc>
          <w:tcPr>
            <w:tcW w:w="1733"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业主</w:t>
            </w: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工程质量</w:t>
            </w:r>
          </w:p>
        </w:tc>
        <w:tc>
          <w:tcPr>
            <w:tcW w:w="1046"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说明：本表后应附项目经理的身份证、职称证、建造师证、安全证的复印件。</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6"/>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p>
    <w:p>
      <w:pPr>
        <w:pStyle w:val="6"/>
        <w:spacing w:line="360" w:lineRule="auto"/>
        <w:ind w:firstLine="1827" w:firstLineChars="65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表3  拟任命的技术负责人简历表</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说明本表后应附技术负责人的身份证、职称证、安全证的复印件。</w:t>
      </w:r>
    </w:p>
    <w:tbl>
      <w:tblPr>
        <w:tblStyle w:val="17"/>
        <w:tblpPr w:leftFromText="180" w:rightFromText="180" w:vertAnchor="text" w:horzAnchor="margin" w:tblpY="425"/>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性别</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年龄</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学历</w:t>
            </w: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职称</w:t>
            </w: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专业</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861" w:type="dxa"/>
            <w:gridSpan w:val="2"/>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从事技术负责人年限</w:t>
            </w: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担任技术负责人经历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时间</w:t>
            </w:r>
          </w:p>
        </w:tc>
        <w:tc>
          <w:tcPr>
            <w:tcW w:w="1853"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合同金额</w:t>
            </w:r>
          </w:p>
        </w:tc>
        <w:tc>
          <w:tcPr>
            <w:tcW w:w="1733"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业主</w:t>
            </w:r>
          </w:p>
        </w:tc>
        <w:tc>
          <w:tcPr>
            <w:tcW w:w="11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工程质量</w:t>
            </w:r>
          </w:p>
        </w:tc>
        <w:tc>
          <w:tcPr>
            <w:tcW w:w="1046"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85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33"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046"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6"/>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r>
        <w:rPr>
          <w:rFonts w:hint="eastAsia" w:ascii="方正仿宋_GBK" w:hAnsi="方正仿宋_GBK" w:eastAsia="方正仿宋_GBK" w:cs="方正仿宋_GBK"/>
          <w:b/>
          <w:color w:val="000000" w:themeColor="text1"/>
          <w:sz w:val="28"/>
          <w:szCs w:val="28"/>
          <w14:textFill>
            <w14:solidFill>
              <w14:schemeClr w14:val="tx1"/>
            </w14:solidFill>
          </w14:textFill>
        </w:rPr>
        <w:t>表4  其他主要专业人员明细表</w:t>
      </w:r>
    </w:p>
    <w:tbl>
      <w:tblPr>
        <w:tblStyle w:val="17"/>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310"/>
        <w:gridCol w:w="2007"/>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职务</w:t>
            </w:r>
          </w:p>
        </w:tc>
        <w:tc>
          <w:tcPr>
            <w:tcW w:w="1310"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w:t>
            </w:r>
          </w:p>
        </w:tc>
        <w:tc>
          <w:tcPr>
            <w:tcW w:w="200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身份证号码</w:t>
            </w:r>
          </w:p>
        </w:tc>
        <w:tc>
          <w:tcPr>
            <w:tcW w:w="1659"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技术职称</w:t>
            </w:r>
          </w:p>
        </w:tc>
        <w:tc>
          <w:tcPr>
            <w:tcW w:w="1659"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667"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1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200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6"/>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br w:type="page"/>
      </w:r>
      <w:r>
        <w:rPr>
          <w:rFonts w:hint="eastAsia" w:ascii="方正仿宋_GBK" w:hAnsi="方正仿宋_GBK" w:eastAsia="方正仿宋_GBK" w:cs="方正仿宋_GBK"/>
          <w:b/>
          <w:color w:val="000000" w:themeColor="text1"/>
          <w:sz w:val="28"/>
          <w:szCs w:val="28"/>
          <w14:textFill>
            <w14:solidFill>
              <w14:schemeClr w14:val="tx1"/>
            </w14:solidFill>
          </w14:textFill>
        </w:rPr>
        <w:t>表5  拟投入本项目的主要施工机械表</w:t>
      </w:r>
    </w:p>
    <w:tbl>
      <w:tblPr>
        <w:tblStyle w:val="17"/>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33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719"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机械设备名称</w:t>
            </w:r>
          </w:p>
        </w:tc>
        <w:tc>
          <w:tcPr>
            <w:tcW w:w="1444"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规格型号</w:t>
            </w:r>
          </w:p>
        </w:tc>
        <w:tc>
          <w:tcPr>
            <w:tcW w:w="1430"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数量</w:t>
            </w:r>
          </w:p>
        </w:tc>
        <w:tc>
          <w:tcPr>
            <w:tcW w:w="1330"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出场年份</w:t>
            </w:r>
          </w:p>
        </w:tc>
        <w:tc>
          <w:tcPr>
            <w:tcW w:w="1551"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719"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44"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30"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55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6"/>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widowControl/>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br w:type="page"/>
      </w:r>
    </w:p>
    <w:p>
      <w:pPr>
        <w:pStyle w:val="6"/>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表6  近五年完成的类似项目表</w:t>
      </w:r>
    </w:p>
    <w:p>
      <w:pPr>
        <w:pStyle w:val="6"/>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说明：竞标单位可在本表后附相关证明材料。</w:t>
      </w:r>
    </w:p>
    <w:tbl>
      <w:tblPr>
        <w:tblStyle w:val="17"/>
        <w:tblpPr w:leftFromText="180" w:rightFromText="180" w:vertAnchor="text" w:horzAnchor="page" w:tblpXSpec="center" w:tblpY="114"/>
        <w:tblOverlap w:val="never"/>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372"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661"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661" w:type="dxa"/>
            <w:vAlign w:val="center"/>
          </w:tcPr>
          <w:p>
            <w:pPr>
              <w:pStyle w:val="6"/>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项目名称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项目所在地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发包人名称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发包人地址</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发包人电话</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监理单位名称</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监理单位电话</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合同金额</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开工日期</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竣工日期</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工程质量</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项目经理</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项目主要工程量</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c>
          <w:tcPr>
            <w:tcW w:w="1372"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61"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657" w:type="dxa"/>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6"/>
        <w:spacing w:line="360" w:lineRule="auto"/>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表7  施工组织设计</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竞标单位应递交完整的施工组织设计，至少应包括以下内容：</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1、承担项目的工程概况</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2、人员、设备、材料的进场计划及安排</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3、总体工期及节点工期安排</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4、各分部分项工程的施工方案、施工方法</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5、工程施工进度计划及安排</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6、确保质量和工期的措施</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7、冬、雨季施工措施</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8、质量、安全保证 </w:t>
      </w:r>
    </w:p>
    <w:p>
      <w:pPr>
        <w:pStyle w:val="6"/>
        <w:spacing w:line="360" w:lineRule="auto"/>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9、其他需要说明的事项</w:t>
      </w:r>
    </w:p>
    <w:p>
      <w:pPr>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pStyle w:val="4"/>
        <w:kinsoku w:val="0"/>
        <w:overflowPunct w:val="0"/>
        <w:spacing w:line="475" w:lineRule="exact"/>
        <w:ind w:left="0"/>
        <w:jc w:val="center"/>
        <w:rPr>
          <w:rFonts w:hAnsi="宋体" w:cs="宋体"/>
          <w:sz w:val="30"/>
          <w:szCs w:val="30"/>
          <w:u w:val="single"/>
        </w:rPr>
      </w:pPr>
    </w:p>
    <w:p>
      <w:pPr>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spacing w:line="360" w:lineRule="auto"/>
        <w:ind w:firstLine="2249" w:firstLineChars="700"/>
        <w:rPr>
          <w:rFonts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第七章 比选评标办法（综合评标法）</w:t>
      </w:r>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6"/>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一、评标细则</w:t>
      </w:r>
    </w:p>
    <w:p>
      <w:pPr>
        <w:pStyle w:val="6"/>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（一）评标主要内容</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评标采用百分制，主要以工程报价、工期、单位资质、人员及设备投入、施工业绩、施工组织设计等为依据，评标项目分值如下：</w:t>
      </w:r>
    </w:p>
    <w:tbl>
      <w:tblPr>
        <w:tblStyle w:val="16"/>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859"/>
        <w:gridCol w:w="4110"/>
        <w:gridCol w:w="781"/>
        <w:gridCol w:w="797"/>
        <w:gridCol w:w="1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859"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  目</w:t>
            </w:r>
          </w:p>
        </w:tc>
        <w:tc>
          <w:tcPr>
            <w:tcW w:w="411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评分标准</w:t>
            </w:r>
          </w:p>
        </w:tc>
        <w:tc>
          <w:tcPr>
            <w:tcW w:w="781"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标准分值</w:t>
            </w:r>
          </w:p>
        </w:tc>
        <w:tc>
          <w:tcPr>
            <w:tcW w:w="797"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实得分</w:t>
            </w:r>
          </w:p>
        </w:tc>
        <w:tc>
          <w:tcPr>
            <w:tcW w:w="143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w:t>
            </w:r>
          </w:p>
        </w:tc>
        <w:tc>
          <w:tcPr>
            <w:tcW w:w="1859" w:type="dxa"/>
            <w:vAlign w:val="center"/>
          </w:tcPr>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投标报价</w:t>
            </w:r>
          </w:p>
        </w:tc>
        <w:tc>
          <w:tcPr>
            <w:tcW w:w="4110" w:type="dxa"/>
            <w:vAlign w:val="center"/>
          </w:tcPr>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基准价得70分；</w:t>
            </w:r>
          </w:p>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高于基准价每1%，减1分；最低分为0分，得分插值计算，保留两位小数；</w:t>
            </w:r>
          </w:p>
        </w:tc>
        <w:tc>
          <w:tcPr>
            <w:tcW w:w="781"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70</w:t>
            </w:r>
          </w:p>
        </w:tc>
        <w:tc>
          <w:tcPr>
            <w:tcW w:w="797"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0"/>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以有效投标单位中的最低价作为基准价。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w:t>
            </w:r>
          </w:p>
        </w:tc>
        <w:tc>
          <w:tcPr>
            <w:tcW w:w="1859" w:type="dxa"/>
            <w:vAlign w:val="center"/>
          </w:tcPr>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质量要求</w:t>
            </w:r>
          </w:p>
        </w:tc>
        <w:tc>
          <w:tcPr>
            <w:tcW w:w="4110" w:type="dxa"/>
            <w:vAlign w:val="center"/>
          </w:tcPr>
          <w:p>
            <w:pPr>
              <w:pStyle w:val="30"/>
              <w:numPr>
                <w:ilvl w:val="0"/>
                <w:numId w:val="7"/>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持有焊工证书5人，得5分，持证3人，得2分，持证3人以下，0分；</w:t>
            </w:r>
          </w:p>
          <w:p>
            <w:pPr>
              <w:pStyle w:val="30"/>
              <w:numPr>
                <w:ilvl w:val="0"/>
                <w:numId w:val="7"/>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持有特种行业操作证书10人，得5分，持证5人，得2分，持证5人以下，0分；</w:t>
            </w:r>
          </w:p>
          <w:p>
            <w:pPr>
              <w:pStyle w:val="30"/>
              <w:numPr>
                <w:ilvl w:val="0"/>
                <w:numId w:val="7"/>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同类型船舶或更高品质的船舶业绩3艘，得5分，2艘得3分，1艘得1分，没有该类业绩，得0分。</w:t>
            </w:r>
          </w:p>
        </w:tc>
        <w:tc>
          <w:tcPr>
            <w:tcW w:w="781"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15</w:t>
            </w:r>
          </w:p>
        </w:tc>
        <w:tc>
          <w:tcPr>
            <w:tcW w:w="797"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附业绩证明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w:t>
            </w:r>
          </w:p>
        </w:tc>
        <w:tc>
          <w:tcPr>
            <w:tcW w:w="1859" w:type="dxa"/>
            <w:vAlign w:val="center"/>
          </w:tcPr>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技术要求</w:t>
            </w:r>
          </w:p>
        </w:tc>
        <w:tc>
          <w:tcPr>
            <w:tcW w:w="4110" w:type="dxa"/>
            <w:vAlign w:val="center"/>
          </w:tcPr>
          <w:p>
            <w:pPr>
              <w:pStyle w:val="30"/>
              <w:numPr>
                <w:ilvl w:val="0"/>
                <w:numId w:val="8"/>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配置技术管理人员1人或多人，得2分，无技术管理人员，得0分；</w:t>
            </w:r>
          </w:p>
          <w:p>
            <w:pPr>
              <w:pStyle w:val="6"/>
              <w:numPr>
                <w:ilvl w:val="0"/>
                <w:numId w:val="8"/>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综合技术评价，综合打分，最优得</w:t>
            </w:r>
            <w:r>
              <w:rPr>
                <w:rFonts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分，以此递减</w:t>
            </w:r>
            <w:r>
              <w:rPr>
                <w:rFonts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分，最低0分；</w:t>
            </w:r>
          </w:p>
        </w:tc>
        <w:tc>
          <w:tcPr>
            <w:tcW w:w="781"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w:t>
            </w:r>
          </w:p>
        </w:tc>
        <w:tc>
          <w:tcPr>
            <w:tcW w:w="1859" w:type="dxa"/>
            <w:vAlign w:val="center"/>
          </w:tcPr>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工期要求和服务承诺</w:t>
            </w:r>
          </w:p>
        </w:tc>
        <w:tc>
          <w:tcPr>
            <w:tcW w:w="4110" w:type="dxa"/>
            <w:vAlign w:val="center"/>
          </w:tcPr>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tc>
        <w:tc>
          <w:tcPr>
            <w:tcW w:w="781"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7</w:t>
            </w:r>
          </w:p>
        </w:tc>
        <w:tc>
          <w:tcPr>
            <w:tcW w:w="797"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4.1</w:t>
            </w:r>
          </w:p>
        </w:tc>
        <w:tc>
          <w:tcPr>
            <w:tcW w:w="1859" w:type="dxa"/>
            <w:vAlign w:val="center"/>
          </w:tcPr>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服务承诺</w:t>
            </w:r>
          </w:p>
        </w:tc>
        <w:tc>
          <w:tcPr>
            <w:tcW w:w="4110" w:type="dxa"/>
            <w:vAlign w:val="center"/>
          </w:tcPr>
          <w:p>
            <w:pPr>
              <w:pStyle w:val="25"/>
              <w:numPr>
                <w:ilvl w:val="0"/>
                <w:numId w:val="9"/>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售后：承诺售后人员在2小时内到提供服务，得2分；承诺售后人员在12小时内到提供服务，得1分；超过1</w:t>
            </w:r>
            <w:r>
              <w:rPr>
                <w:rFonts w:ascii="方正仿宋_GBK" w:hAnsi="方正仿宋_GBK" w:eastAsia="方正仿宋_GBK" w:cs="方正仿宋_GBK"/>
                <w:color w:val="000000" w:themeColor="text1"/>
                <w:sz w:val="28"/>
                <w:szCs w:val="28"/>
                <w14:textFill>
                  <w14:solidFill>
                    <w14:schemeClr w14:val="tx1"/>
                  </w14:solidFill>
                </w14:textFill>
              </w:rPr>
              <w:t>2</w:t>
            </w:r>
            <w:r>
              <w:rPr>
                <w:rFonts w:hint="eastAsia" w:ascii="方正仿宋_GBK" w:hAnsi="方正仿宋_GBK" w:eastAsia="方正仿宋_GBK" w:cs="方正仿宋_GBK"/>
                <w:color w:val="000000" w:themeColor="text1"/>
                <w:sz w:val="28"/>
                <w:szCs w:val="28"/>
                <w14:textFill>
                  <w14:solidFill>
                    <w14:schemeClr w14:val="tx1"/>
                  </w14:solidFill>
                </w14:textFill>
              </w:rPr>
              <w:t>小时得0分。（附售后服务承诺函）</w:t>
            </w:r>
          </w:p>
          <w:p>
            <w:pPr>
              <w:pStyle w:val="25"/>
              <w:numPr>
                <w:ilvl w:val="0"/>
                <w:numId w:val="9"/>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施工单位为施工人员购置工伤保险，全部人员购买保险得3分，部分人员购买保险得1分，未购买保险得0分；</w:t>
            </w:r>
          </w:p>
        </w:tc>
        <w:tc>
          <w:tcPr>
            <w:tcW w:w="781"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售后服务承诺函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4.2</w:t>
            </w:r>
          </w:p>
        </w:tc>
        <w:tc>
          <w:tcPr>
            <w:tcW w:w="1859" w:type="dxa"/>
            <w:vAlign w:val="center"/>
          </w:tcPr>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w:t>
            </w:r>
          </w:p>
        </w:tc>
        <w:tc>
          <w:tcPr>
            <w:tcW w:w="4110" w:type="dxa"/>
            <w:vAlign w:val="center"/>
          </w:tcPr>
          <w:p>
            <w:pPr>
              <w:pStyle w:val="30"/>
              <w:ind w:firstLine="56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承诺满足竞标要求总工期和节点要求，无承诺不得分；并附有详细的节点计划，最优得2分，以此递减1分，最低0分；</w:t>
            </w:r>
          </w:p>
        </w:tc>
        <w:tc>
          <w:tcPr>
            <w:tcW w:w="781"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797"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w:t>
            </w:r>
          </w:p>
        </w:tc>
        <w:tc>
          <w:tcPr>
            <w:tcW w:w="1859" w:type="dxa"/>
            <w:vAlign w:val="center"/>
          </w:tcPr>
          <w:p>
            <w:pPr>
              <w:pStyle w:val="30"/>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安全要求</w:t>
            </w:r>
          </w:p>
        </w:tc>
        <w:tc>
          <w:tcPr>
            <w:tcW w:w="4110" w:type="dxa"/>
            <w:vAlign w:val="center"/>
          </w:tcPr>
          <w:p>
            <w:pPr>
              <w:pStyle w:val="6"/>
              <w:numPr>
                <w:ilvl w:val="0"/>
                <w:numId w:val="10"/>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在一年内未发生评级工伤事故的投标单位,得3分；在一年内未发生过9-10级工伤事故的投标单位,得1分；在一年内发生过7-8级工伤事故的投标单位,得0分。</w:t>
            </w:r>
          </w:p>
        </w:tc>
        <w:tc>
          <w:tcPr>
            <w:tcW w:w="781"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797"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0"/>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bl>
    <w:p>
      <w:pPr>
        <w:pStyle w:val="6"/>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（二）评标专家的组成：</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按重庆轮船（集团）有限公司和中江船业相关制度组成。</w:t>
      </w:r>
    </w:p>
    <w:p>
      <w:pPr>
        <w:pStyle w:val="6"/>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（三）价格分评定办法</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1、在没有超限价的基础上，以各家施工单位的最低报价作为投标价格分的基准分，超1%扣1分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，插值计算（保持小数点后两位）</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6"/>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2、各评标专家按上述标准逐项打分（取两位小数）并计算总得分，所有评标专家对该施工单位打分的平均值（取两位小数）为最终得分。</w:t>
      </w:r>
    </w:p>
    <w:p>
      <w:pPr>
        <w:pStyle w:val="6"/>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（四）中标</w:t>
      </w:r>
    </w:p>
    <w:p>
      <w:pPr>
        <w:pStyle w:val="6"/>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1、按照竞标单位以综合评定得分最高者确定为中标候选人。</w:t>
      </w:r>
    </w:p>
    <w:p>
      <w:pPr>
        <w:pStyle w:val="6"/>
        <w:spacing w:line="48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2、如出现两家竞标单位得分相同的情况，则由报价低的单位作为中标候选人。</w:t>
      </w:r>
    </w:p>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6"/>
        <w:spacing w:line="360" w:lineRule="auto"/>
        <w:rPr>
          <w:rFonts w:asciiTheme="majorEastAsia" w:hAnsiTheme="majorEastAsia" w:eastAsiaTheme="majorEastAsia"/>
          <w:color w:val="000000" w:themeColor="text1"/>
          <w:sz w:val="28"/>
          <w:szCs w:val="28"/>
          <w14:textFill>
            <w14:solidFill>
              <w14:schemeClr w14:val="tx1"/>
            </w14:solidFill>
          </w14:textFill>
        </w:rPr>
      </w:pPr>
    </w:p>
    <w:sectPr>
      <w:footerReference r:id="rId4" w:type="default"/>
      <w:pgSz w:w="11906" w:h="16838"/>
      <w:pgMar w:top="1134" w:right="1134" w:bottom="1134" w:left="1134"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lotter">
    <w:altName w:val="Times New Roman"/>
    <w:panose1 w:val="00000000000000000000"/>
    <w:charset w:val="00"/>
    <w:family w:val="roman"/>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方正书宋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宋一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ËÎÌå">
    <w:altName w:val="Times New Roman"/>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体坛超黑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郭简体">
    <w:panose1 w:val="03000509000000000000"/>
    <w:charset w:val="86"/>
    <w:family w:val="auto"/>
    <w:pitch w:val="default"/>
    <w:sig w:usb0="00000001" w:usb1="080E0000" w:usb2="00000000" w:usb3="00000000" w:csb0="003C0041" w:csb1="A0080000"/>
  </w:font>
  <w:font w:name="方正兰亭大黑_GBK">
    <w:panose1 w:val="02000000000000000000"/>
    <w:charset w:val="86"/>
    <w:family w:val="auto"/>
    <w:pitch w:val="default"/>
    <w:sig w:usb0="00000001" w:usb1="08000000" w:usb2="00000000" w:usb3="00000000" w:csb0="00040000" w:csb1="00000000"/>
  </w:font>
  <w:font w:name="方正兰亭特黑简体">
    <w:panose1 w:val="02000000000000000000"/>
    <w:charset w:val="86"/>
    <w:family w:val="auto"/>
    <w:pitch w:val="default"/>
    <w:sig w:usb0="00000001" w:usb1="08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9"/>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59264;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N+svSi4AQAASgMAAA4AAABkcnMvZTJvRG9jLnhtbK1T&#10;wW7bMAy9D9g/CLovTtylS404xYaiQ4FiLdDtAxRZigVIoiYpsfMD3R/stEvv/a58RynZSYftNuwi&#10;UyT1yPdILy97o8lO+KDA1nQ2mVIiLIdG2U1Nv329fregJERmG6bBipruRaCXq7dvlp2rRAkt6EZ4&#10;giA2VJ2raRujq4oi8FYYFibghMWgBG9YxKvfFI1nHaIbXZTT6XnRgW+cBy5CQO/VEKSrjC+l4PFO&#10;yiAi0TXF3mI+fT7X6SxWS1ZtPHOt4mMb7B+6MExZLHqCumKRka1Xf0EZxT0EkHHCwRQgpeIic0A2&#10;s+kfbB5a5kTmguIEd5Ip/D9Y/mV374lqcHaUWGZwRIefPw6/ng9Pj2SW5OlcqDDrwWFe7D9Bn1JH&#10;f0BnYt1Lb9IX+RCMo9D7k7iij4SnR7P54uL9BSUcY2V5Vi7OEkzx+tr5ED8LMCQZNfU4vKwp292G&#10;OKQeU1IxC9dKa/SzSlvSYYX54sM8vziFEF1bLJJIDM0mK/brfmSwhmaPxDrcgJqG71vmBSX6xqLE&#10;aV2Ohj8a69EYGvi4jSBV7i3hDmBjORxYZjcuV9qI3+856/UXWL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ZQktkAAAAJAQAADwAAAAAAAAABACAAAAAiAAAAZHJzL2Rvd25yZXYueG1sUEsBAhQA&#10;FAAAAAgAh07iQN+svSi4AQAASgMAAA4AAAAAAAAAAQAgAAAAKAEAAGRycy9lMm9Eb2MueG1sUEsF&#10;BgAAAAAGAAYAWQEAAFIFAAAAAA==&#10;">
              <v:fill on="f" focussize="0,0"/>
              <v:stroke on="f" weight="1.25pt"/>
              <v:imagedata o:title=""/>
              <o:lock v:ext="edit" aspectratio="f"/>
              <v:textbox inset="0mm,0mm,0mm,0mm">
                <w:txbxContent>
                  <w:p>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9"/>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61312;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OKtWpm3AQAASgMAAA4AAABkcnMvZTJvRG9jLnhtbK1T&#10;wW7bMAy9D9g/CLovTtylS404xYaiQ4FiLdDtAxRZigVIoiYpsfMD3R/stEvv/a58RynZSYftNuxC&#10;UyL1yPdILy97o8lO+KDA1nQ2mVIiLIdG2U1Nv329fregJERmG6bBipruRaCXq7dvlp2rRAkt6EZ4&#10;giA2VJ2raRujq4oi8FYYFibghMWgBG9YxKPfFI1nHaIbXZTT6XnRgW+cBy5CwNurIUhXGV9KweOd&#10;lEFEomuKvcVsfbbrZIvVklUbz1yr+NgG+4cuDFMWi56grlhkZOvVX1BGcQ8BZJxwMAVIqbjIHJDN&#10;bPoHm4eWOZG5oDjBnWQK/w+Wf9nde6KampaUWGZwRIefPw6/ng9Pj6RM8nQuVJj14DAv9p+gxzEf&#10;7wNeJta99CZ9kQ/BOAq9P4kr+kh4ejSbLy7eX1DCMVaWZ+XiLMEUr6+dD/GzAEOSU1OPw8uast1t&#10;iEPqMSUVs3CttM4D1JZ0WGG++DDPL04hRNcWiyQSQ7PJi/26H5mtodkjsQ43oKbh+5Z5QYm+sShx&#10;Wpej44/OenSGBj5uI0iVe0u4A9hYDgeW2Y3LlTbi93POev0FV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BdlCS2QAAAAkBAAAPAAAAAAAAAAEAIAAAACIAAABkcnMvZG93bnJldi54bWxQSwECFAAU&#10;AAAACACHTuJA4q1ambcBAABKAwAADgAAAAAAAAABACAAAAAoAQAAZHJzL2Uyb0RvYy54bWxQSwUG&#10;AAAAAAYABgBZAQAAUQUAAAAA&#10;">
              <v:fill on="f" focussize="0,0"/>
              <v:stroke on="f" weight="1.25pt"/>
              <v:imagedata o:title=""/>
              <o:lock v:ext="edit" aspectratio="f"/>
              <v:textbox inset="0mm,0mm,0mm,0mm">
                <w:txbxContent>
                  <w:p>
                    <w:pPr>
                      <w:pStyle w:val="9"/>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B4AE4"/>
    <w:multiLevelType w:val="singleLevel"/>
    <w:tmpl w:val="173B4AE4"/>
    <w:lvl w:ilvl="0" w:tentative="0">
      <w:start w:val="1"/>
      <w:numFmt w:val="decimal"/>
      <w:suff w:val="nothing"/>
      <w:lvlText w:val="%1、"/>
      <w:lvlJc w:val="left"/>
    </w:lvl>
  </w:abstractNum>
  <w:abstractNum w:abstractNumId="1">
    <w:nsid w:val="17BB13DC"/>
    <w:multiLevelType w:val="multilevel"/>
    <w:tmpl w:val="17BB13DC"/>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4B23F9B"/>
    <w:multiLevelType w:val="multilevel"/>
    <w:tmpl w:val="34B23F9B"/>
    <w:lvl w:ilvl="0" w:tentative="0">
      <w:start w:val="1"/>
      <w:numFmt w:val="decimalEnclosedParen"/>
      <w:lvlText w:val="%1"/>
      <w:lvlJc w:val="left"/>
      <w:pPr>
        <w:ind w:left="430" w:hanging="360"/>
      </w:pPr>
      <w:rPr>
        <w:rFonts w:hint="default"/>
      </w:rPr>
    </w:lvl>
    <w:lvl w:ilvl="1" w:tentative="0">
      <w:start w:val="1"/>
      <w:numFmt w:val="lowerLetter"/>
      <w:lvlText w:val="%2)"/>
      <w:lvlJc w:val="left"/>
      <w:pPr>
        <w:ind w:left="910" w:hanging="420"/>
      </w:pPr>
    </w:lvl>
    <w:lvl w:ilvl="2" w:tentative="0">
      <w:start w:val="1"/>
      <w:numFmt w:val="lowerRoman"/>
      <w:lvlText w:val="%3."/>
      <w:lvlJc w:val="right"/>
      <w:pPr>
        <w:ind w:left="1330" w:hanging="420"/>
      </w:pPr>
    </w:lvl>
    <w:lvl w:ilvl="3" w:tentative="0">
      <w:start w:val="1"/>
      <w:numFmt w:val="decimal"/>
      <w:lvlText w:val="%4."/>
      <w:lvlJc w:val="left"/>
      <w:pPr>
        <w:ind w:left="1750" w:hanging="420"/>
      </w:pPr>
    </w:lvl>
    <w:lvl w:ilvl="4" w:tentative="0">
      <w:start w:val="1"/>
      <w:numFmt w:val="lowerLetter"/>
      <w:lvlText w:val="%5)"/>
      <w:lvlJc w:val="left"/>
      <w:pPr>
        <w:ind w:left="2170" w:hanging="420"/>
      </w:pPr>
    </w:lvl>
    <w:lvl w:ilvl="5" w:tentative="0">
      <w:start w:val="1"/>
      <w:numFmt w:val="lowerRoman"/>
      <w:lvlText w:val="%6."/>
      <w:lvlJc w:val="right"/>
      <w:pPr>
        <w:ind w:left="2590" w:hanging="420"/>
      </w:pPr>
    </w:lvl>
    <w:lvl w:ilvl="6" w:tentative="0">
      <w:start w:val="1"/>
      <w:numFmt w:val="decimal"/>
      <w:lvlText w:val="%7."/>
      <w:lvlJc w:val="left"/>
      <w:pPr>
        <w:ind w:left="3010" w:hanging="420"/>
      </w:pPr>
    </w:lvl>
    <w:lvl w:ilvl="7" w:tentative="0">
      <w:start w:val="1"/>
      <w:numFmt w:val="lowerLetter"/>
      <w:lvlText w:val="%8)"/>
      <w:lvlJc w:val="left"/>
      <w:pPr>
        <w:ind w:left="3430" w:hanging="420"/>
      </w:pPr>
    </w:lvl>
    <w:lvl w:ilvl="8" w:tentative="0">
      <w:start w:val="1"/>
      <w:numFmt w:val="lowerRoman"/>
      <w:lvlText w:val="%9."/>
      <w:lvlJc w:val="right"/>
      <w:pPr>
        <w:ind w:left="3850" w:hanging="420"/>
      </w:pPr>
    </w:lvl>
  </w:abstractNum>
  <w:abstractNum w:abstractNumId="3">
    <w:nsid w:val="61E8CDD4"/>
    <w:multiLevelType w:val="singleLevel"/>
    <w:tmpl w:val="61E8CDD4"/>
    <w:lvl w:ilvl="0" w:tentative="0">
      <w:start w:val="3"/>
      <w:numFmt w:val="chineseCounting"/>
      <w:suff w:val="nothing"/>
      <w:lvlText w:val="%1、"/>
      <w:lvlJc w:val="left"/>
    </w:lvl>
  </w:abstractNum>
  <w:abstractNum w:abstractNumId="4">
    <w:nsid w:val="62C85884"/>
    <w:multiLevelType w:val="multilevel"/>
    <w:tmpl w:val="62C85884"/>
    <w:lvl w:ilvl="0" w:tentative="0">
      <w:start w:val="1"/>
      <w:numFmt w:val="decimalEnclosedParen"/>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80EC02"/>
    <w:multiLevelType w:val="singleLevel"/>
    <w:tmpl w:val="6780EC02"/>
    <w:lvl w:ilvl="0" w:tentative="0">
      <w:start w:val="1"/>
      <w:numFmt w:val="decimal"/>
      <w:suff w:val="nothing"/>
      <w:lvlText w:val="（%1）"/>
      <w:lvlJc w:val="left"/>
    </w:lvl>
  </w:abstractNum>
  <w:abstractNum w:abstractNumId="6">
    <w:nsid w:val="678108A4"/>
    <w:multiLevelType w:val="singleLevel"/>
    <w:tmpl w:val="678108A4"/>
    <w:lvl w:ilvl="0" w:tentative="0">
      <w:start w:val="1"/>
      <w:numFmt w:val="chineseCounting"/>
      <w:suff w:val="nothing"/>
      <w:lvlText w:val="%1、"/>
      <w:lvlJc w:val="left"/>
    </w:lvl>
  </w:abstractNum>
  <w:abstractNum w:abstractNumId="7">
    <w:nsid w:val="6846D999"/>
    <w:multiLevelType w:val="singleLevel"/>
    <w:tmpl w:val="6846D999"/>
    <w:lvl w:ilvl="0" w:tentative="0">
      <w:start w:val="1"/>
      <w:numFmt w:val="decimal"/>
      <w:suff w:val="nothing"/>
      <w:lvlText w:val="（%1）"/>
      <w:lvlJc w:val="left"/>
    </w:lvl>
  </w:abstractNum>
  <w:abstractNum w:abstractNumId="8">
    <w:nsid w:val="686682F9"/>
    <w:multiLevelType w:val="singleLevel"/>
    <w:tmpl w:val="686682F9"/>
    <w:lvl w:ilvl="0" w:tentative="0">
      <w:start w:val="1"/>
      <w:numFmt w:val="decimal"/>
      <w:suff w:val="nothing"/>
      <w:lvlText w:val="%1、"/>
      <w:lvlJc w:val="left"/>
    </w:lvl>
  </w:abstractNum>
  <w:abstractNum w:abstractNumId="9">
    <w:nsid w:val="6875A6A8"/>
    <w:multiLevelType w:val="singleLevel"/>
    <w:tmpl w:val="6875A6A8"/>
    <w:lvl w:ilvl="0" w:tentative="0">
      <w:start w:val="5"/>
      <w:numFmt w:val="decimal"/>
      <w:suff w:val="nothing"/>
      <w:lvlText w:val="%1、"/>
      <w:lvlJc w:val="left"/>
    </w:lvl>
  </w:abstractNum>
  <w:num w:numId="1">
    <w:abstractNumId w:val="9"/>
  </w:num>
  <w:num w:numId="2">
    <w:abstractNumId w:val="3"/>
  </w:num>
  <w:num w:numId="3">
    <w:abstractNumId w:val="7"/>
  </w:num>
  <w:num w:numId="4">
    <w:abstractNumId w:val="6"/>
  </w:num>
  <w:num w:numId="5">
    <w:abstractNumId w:val="0"/>
  </w:num>
  <w:num w:numId="6">
    <w:abstractNumId w:val="8"/>
  </w:num>
  <w:num w:numId="7">
    <w:abstractNumId w:val="2"/>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ZmI0ZmJhOTVkOWFhZWU3YjNlMGQyM2RjZjg5ZmMifQ=="/>
  </w:docVars>
  <w:rsids>
    <w:rsidRoot w:val="0067148D"/>
    <w:rsid w:val="00001B0D"/>
    <w:rsid w:val="00027B62"/>
    <w:rsid w:val="000755C1"/>
    <w:rsid w:val="00095D4F"/>
    <w:rsid w:val="000C0D46"/>
    <w:rsid w:val="000C7CA0"/>
    <w:rsid w:val="000E09E1"/>
    <w:rsid w:val="000E14BD"/>
    <w:rsid w:val="000E235A"/>
    <w:rsid w:val="000F3A18"/>
    <w:rsid w:val="00103082"/>
    <w:rsid w:val="0010762A"/>
    <w:rsid w:val="001617A4"/>
    <w:rsid w:val="00180948"/>
    <w:rsid w:val="00182FD2"/>
    <w:rsid w:val="001868AF"/>
    <w:rsid w:val="001968B2"/>
    <w:rsid w:val="001D5095"/>
    <w:rsid w:val="001F75EA"/>
    <w:rsid w:val="00212CCC"/>
    <w:rsid w:val="00236FCF"/>
    <w:rsid w:val="002400D0"/>
    <w:rsid w:val="00244BBF"/>
    <w:rsid w:val="00261DC7"/>
    <w:rsid w:val="00261E95"/>
    <w:rsid w:val="0026722A"/>
    <w:rsid w:val="00291BC3"/>
    <w:rsid w:val="00292562"/>
    <w:rsid w:val="002C4810"/>
    <w:rsid w:val="002F5AAB"/>
    <w:rsid w:val="00315AFC"/>
    <w:rsid w:val="00316642"/>
    <w:rsid w:val="00327335"/>
    <w:rsid w:val="0034531F"/>
    <w:rsid w:val="00363FF8"/>
    <w:rsid w:val="00397993"/>
    <w:rsid w:val="003A340A"/>
    <w:rsid w:val="003A7FCF"/>
    <w:rsid w:val="003B5F7E"/>
    <w:rsid w:val="003E3499"/>
    <w:rsid w:val="003F7C9F"/>
    <w:rsid w:val="00414044"/>
    <w:rsid w:val="00414DE0"/>
    <w:rsid w:val="0042234D"/>
    <w:rsid w:val="004615FB"/>
    <w:rsid w:val="00477FA4"/>
    <w:rsid w:val="00487CB3"/>
    <w:rsid w:val="00491104"/>
    <w:rsid w:val="004911E2"/>
    <w:rsid w:val="00496E2C"/>
    <w:rsid w:val="004A69A9"/>
    <w:rsid w:val="0051083F"/>
    <w:rsid w:val="00514B6F"/>
    <w:rsid w:val="0052180B"/>
    <w:rsid w:val="005240B0"/>
    <w:rsid w:val="00526E0D"/>
    <w:rsid w:val="00532E3E"/>
    <w:rsid w:val="00560D58"/>
    <w:rsid w:val="005722E9"/>
    <w:rsid w:val="005836A9"/>
    <w:rsid w:val="00584C4E"/>
    <w:rsid w:val="005A3BAE"/>
    <w:rsid w:val="005C7C60"/>
    <w:rsid w:val="005E4890"/>
    <w:rsid w:val="005E780E"/>
    <w:rsid w:val="00610C4F"/>
    <w:rsid w:val="00613113"/>
    <w:rsid w:val="00621AD6"/>
    <w:rsid w:val="006259E6"/>
    <w:rsid w:val="00625DC8"/>
    <w:rsid w:val="0064446B"/>
    <w:rsid w:val="0064468A"/>
    <w:rsid w:val="0065195E"/>
    <w:rsid w:val="006540F3"/>
    <w:rsid w:val="006614F8"/>
    <w:rsid w:val="0067148D"/>
    <w:rsid w:val="00683873"/>
    <w:rsid w:val="006970D1"/>
    <w:rsid w:val="006A6388"/>
    <w:rsid w:val="006A7DD5"/>
    <w:rsid w:val="006D5881"/>
    <w:rsid w:val="006F3BC0"/>
    <w:rsid w:val="0070752A"/>
    <w:rsid w:val="00713F87"/>
    <w:rsid w:val="0071599D"/>
    <w:rsid w:val="0071704C"/>
    <w:rsid w:val="00726418"/>
    <w:rsid w:val="007269BD"/>
    <w:rsid w:val="0073795F"/>
    <w:rsid w:val="00750E06"/>
    <w:rsid w:val="00751D0B"/>
    <w:rsid w:val="00756FE2"/>
    <w:rsid w:val="00773842"/>
    <w:rsid w:val="0078620D"/>
    <w:rsid w:val="0079021C"/>
    <w:rsid w:val="00791951"/>
    <w:rsid w:val="007A3BA7"/>
    <w:rsid w:val="007B2310"/>
    <w:rsid w:val="007C1B82"/>
    <w:rsid w:val="007D2168"/>
    <w:rsid w:val="007E295F"/>
    <w:rsid w:val="007E33D6"/>
    <w:rsid w:val="008072F2"/>
    <w:rsid w:val="00807403"/>
    <w:rsid w:val="008172D3"/>
    <w:rsid w:val="00825C07"/>
    <w:rsid w:val="00845038"/>
    <w:rsid w:val="00847DC6"/>
    <w:rsid w:val="008541CA"/>
    <w:rsid w:val="00855CBD"/>
    <w:rsid w:val="00860BA8"/>
    <w:rsid w:val="00885C4F"/>
    <w:rsid w:val="008919AD"/>
    <w:rsid w:val="008A6BE8"/>
    <w:rsid w:val="008B0167"/>
    <w:rsid w:val="008B1B14"/>
    <w:rsid w:val="008C0C06"/>
    <w:rsid w:val="008D4F6C"/>
    <w:rsid w:val="008D55A5"/>
    <w:rsid w:val="008E1415"/>
    <w:rsid w:val="0090186C"/>
    <w:rsid w:val="0091217A"/>
    <w:rsid w:val="0093407C"/>
    <w:rsid w:val="009403C7"/>
    <w:rsid w:val="00942851"/>
    <w:rsid w:val="00943914"/>
    <w:rsid w:val="0094398C"/>
    <w:rsid w:val="00945C8C"/>
    <w:rsid w:val="0099403B"/>
    <w:rsid w:val="009B0E24"/>
    <w:rsid w:val="009B1BC9"/>
    <w:rsid w:val="009B34F5"/>
    <w:rsid w:val="009E141B"/>
    <w:rsid w:val="009F2FD6"/>
    <w:rsid w:val="009F30D5"/>
    <w:rsid w:val="009F58F7"/>
    <w:rsid w:val="00A05715"/>
    <w:rsid w:val="00A203C5"/>
    <w:rsid w:val="00A220F9"/>
    <w:rsid w:val="00A53F3D"/>
    <w:rsid w:val="00A76483"/>
    <w:rsid w:val="00A768FE"/>
    <w:rsid w:val="00A87EEE"/>
    <w:rsid w:val="00A917B1"/>
    <w:rsid w:val="00AA01EC"/>
    <w:rsid w:val="00AA3293"/>
    <w:rsid w:val="00AB58A3"/>
    <w:rsid w:val="00AB6F66"/>
    <w:rsid w:val="00AD21B8"/>
    <w:rsid w:val="00AD6E26"/>
    <w:rsid w:val="00AF1181"/>
    <w:rsid w:val="00B130C5"/>
    <w:rsid w:val="00B557B2"/>
    <w:rsid w:val="00B66E11"/>
    <w:rsid w:val="00B8202F"/>
    <w:rsid w:val="00BD3DE6"/>
    <w:rsid w:val="00BF0A4A"/>
    <w:rsid w:val="00C00FD0"/>
    <w:rsid w:val="00C0451D"/>
    <w:rsid w:val="00C0651D"/>
    <w:rsid w:val="00C46B28"/>
    <w:rsid w:val="00C51B16"/>
    <w:rsid w:val="00C92F32"/>
    <w:rsid w:val="00CC09C5"/>
    <w:rsid w:val="00CD39AE"/>
    <w:rsid w:val="00CF35CF"/>
    <w:rsid w:val="00D07381"/>
    <w:rsid w:val="00D203D3"/>
    <w:rsid w:val="00D34446"/>
    <w:rsid w:val="00D41686"/>
    <w:rsid w:val="00D41A3B"/>
    <w:rsid w:val="00D41E34"/>
    <w:rsid w:val="00D42BF3"/>
    <w:rsid w:val="00D57028"/>
    <w:rsid w:val="00D760A5"/>
    <w:rsid w:val="00D975FD"/>
    <w:rsid w:val="00DA390E"/>
    <w:rsid w:val="00DA4652"/>
    <w:rsid w:val="00DB5110"/>
    <w:rsid w:val="00DD0019"/>
    <w:rsid w:val="00DD5C70"/>
    <w:rsid w:val="00E023AC"/>
    <w:rsid w:val="00E269BD"/>
    <w:rsid w:val="00E47E62"/>
    <w:rsid w:val="00E72AD4"/>
    <w:rsid w:val="00E77C35"/>
    <w:rsid w:val="00E92E74"/>
    <w:rsid w:val="00E95B74"/>
    <w:rsid w:val="00EA2B9E"/>
    <w:rsid w:val="00EB6F5B"/>
    <w:rsid w:val="00EC07A5"/>
    <w:rsid w:val="00ED1143"/>
    <w:rsid w:val="00EF5856"/>
    <w:rsid w:val="00F02829"/>
    <w:rsid w:val="00F061F2"/>
    <w:rsid w:val="00F064D3"/>
    <w:rsid w:val="00F24DEE"/>
    <w:rsid w:val="00F41191"/>
    <w:rsid w:val="00F637B4"/>
    <w:rsid w:val="00F762CF"/>
    <w:rsid w:val="00F77009"/>
    <w:rsid w:val="00F92480"/>
    <w:rsid w:val="00FA5531"/>
    <w:rsid w:val="00FB66C6"/>
    <w:rsid w:val="00FD71A0"/>
    <w:rsid w:val="00FE2ADB"/>
    <w:rsid w:val="014A114C"/>
    <w:rsid w:val="02597972"/>
    <w:rsid w:val="03F304C5"/>
    <w:rsid w:val="04AF43FC"/>
    <w:rsid w:val="06505586"/>
    <w:rsid w:val="06A53F8A"/>
    <w:rsid w:val="07543123"/>
    <w:rsid w:val="079E29D4"/>
    <w:rsid w:val="07FB1FF6"/>
    <w:rsid w:val="08D63113"/>
    <w:rsid w:val="093D656A"/>
    <w:rsid w:val="0A8D3611"/>
    <w:rsid w:val="0AAE001C"/>
    <w:rsid w:val="0C414374"/>
    <w:rsid w:val="0C5E51B2"/>
    <w:rsid w:val="0D3A649E"/>
    <w:rsid w:val="0E4703CE"/>
    <w:rsid w:val="0F8B656A"/>
    <w:rsid w:val="0F9C5604"/>
    <w:rsid w:val="1006112F"/>
    <w:rsid w:val="10335A68"/>
    <w:rsid w:val="10673FDF"/>
    <w:rsid w:val="11EB52DD"/>
    <w:rsid w:val="12AB20C5"/>
    <w:rsid w:val="14777AAF"/>
    <w:rsid w:val="14E70E6D"/>
    <w:rsid w:val="15443AE3"/>
    <w:rsid w:val="15F40224"/>
    <w:rsid w:val="16221A45"/>
    <w:rsid w:val="162856B8"/>
    <w:rsid w:val="16E13441"/>
    <w:rsid w:val="179C25FB"/>
    <w:rsid w:val="1AD97E16"/>
    <w:rsid w:val="1B4C7940"/>
    <w:rsid w:val="1CB807C7"/>
    <w:rsid w:val="1D0C2C9D"/>
    <w:rsid w:val="1F6B0F1A"/>
    <w:rsid w:val="1FFA4DD3"/>
    <w:rsid w:val="20AB627B"/>
    <w:rsid w:val="212020A6"/>
    <w:rsid w:val="21DD6696"/>
    <w:rsid w:val="238863DF"/>
    <w:rsid w:val="24422E72"/>
    <w:rsid w:val="273A634A"/>
    <w:rsid w:val="285D0C69"/>
    <w:rsid w:val="286328D5"/>
    <w:rsid w:val="28C60586"/>
    <w:rsid w:val="294E2DAA"/>
    <w:rsid w:val="2C055C53"/>
    <w:rsid w:val="2C2E7989"/>
    <w:rsid w:val="2C517DE8"/>
    <w:rsid w:val="2D6C7DE2"/>
    <w:rsid w:val="2F411D43"/>
    <w:rsid w:val="31740AA9"/>
    <w:rsid w:val="31944178"/>
    <w:rsid w:val="31DC4F69"/>
    <w:rsid w:val="32A20B12"/>
    <w:rsid w:val="32E03AC7"/>
    <w:rsid w:val="331D7435"/>
    <w:rsid w:val="33E46492"/>
    <w:rsid w:val="342437B2"/>
    <w:rsid w:val="34D413A5"/>
    <w:rsid w:val="36D9763D"/>
    <w:rsid w:val="3861466D"/>
    <w:rsid w:val="38A00D3C"/>
    <w:rsid w:val="38AB1AA8"/>
    <w:rsid w:val="397965F2"/>
    <w:rsid w:val="3B8828CE"/>
    <w:rsid w:val="3B8C3232"/>
    <w:rsid w:val="3C8A5D2D"/>
    <w:rsid w:val="3D9A16C9"/>
    <w:rsid w:val="3E1754B1"/>
    <w:rsid w:val="3ED7128A"/>
    <w:rsid w:val="3F0605A8"/>
    <w:rsid w:val="3FD57BC1"/>
    <w:rsid w:val="41210614"/>
    <w:rsid w:val="423B31A7"/>
    <w:rsid w:val="4246050D"/>
    <w:rsid w:val="44BD05CD"/>
    <w:rsid w:val="45AF683B"/>
    <w:rsid w:val="45BB471A"/>
    <w:rsid w:val="485F3790"/>
    <w:rsid w:val="4AE86345"/>
    <w:rsid w:val="4B9F27D5"/>
    <w:rsid w:val="4BCE6F6E"/>
    <w:rsid w:val="4C093949"/>
    <w:rsid w:val="4CDD1BD1"/>
    <w:rsid w:val="4D355F10"/>
    <w:rsid w:val="4EA76FDF"/>
    <w:rsid w:val="4F9378CC"/>
    <w:rsid w:val="502F7C07"/>
    <w:rsid w:val="514B379F"/>
    <w:rsid w:val="51D10070"/>
    <w:rsid w:val="51F93074"/>
    <w:rsid w:val="52CD71BA"/>
    <w:rsid w:val="52CF37F2"/>
    <w:rsid w:val="546133CF"/>
    <w:rsid w:val="546B2F75"/>
    <w:rsid w:val="549B50A8"/>
    <w:rsid w:val="558E4290"/>
    <w:rsid w:val="56356742"/>
    <w:rsid w:val="580844E6"/>
    <w:rsid w:val="58E0559B"/>
    <w:rsid w:val="59AC4BCE"/>
    <w:rsid w:val="59DE2525"/>
    <w:rsid w:val="5B99606D"/>
    <w:rsid w:val="5BE26FDC"/>
    <w:rsid w:val="5C3E0E6B"/>
    <w:rsid w:val="5DE414D1"/>
    <w:rsid w:val="5E2960DB"/>
    <w:rsid w:val="5F500775"/>
    <w:rsid w:val="5F550382"/>
    <w:rsid w:val="603B056D"/>
    <w:rsid w:val="60405422"/>
    <w:rsid w:val="6242287F"/>
    <w:rsid w:val="62E12D5D"/>
    <w:rsid w:val="636B3E1B"/>
    <w:rsid w:val="63AF180D"/>
    <w:rsid w:val="63B10BA7"/>
    <w:rsid w:val="68930495"/>
    <w:rsid w:val="68B656AD"/>
    <w:rsid w:val="68FF5BF9"/>
    <w:rsid w:val="69973A66"/>
    <w:rsid w:val="6C112069"/>
    <w:rsid w:val="6C8A55F5"/>
    <w:rsid w:val="6CBB5629"/>
    <w:rsid w:val="6DFA62FE"/>
    <w:rsid w:val="6E39695A"/>
    <w:rsid w:val="6E864ABA"/>
    <w:rsid w:val="6EF7695E"/>
    <w:rsid w:val="6F2800CC"/>
    <w:rsid w:val="70F75391"/>
    <w:rsid w:val="72A92427"/>
    <w:rsid w:val="75A772F6"/>
    <w:rsid w:val="76190FF5"/>
    <w:rsid w:val="76742FEB"/>
    <w:rsid w:val="7786006B"/>
    <w:rsid w:val="786E6E77"/>
    <w:rsid w:val="78D264A3"/>
    <w:rsid w:val="794834ED"/>
    <w:rsid w:val="79F366DA"/>
    <w:rsid w:val="7AB76593"/>
    <w:rsid w:val="7E97693D"/>
    <w:rsid w:val="7EE72F8D"/>
    <w:rsid w:val="7F622843"/>
    <w:rsid w:val="7FC6220C"/>
    <w:rsid w:val="7FC6738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3" w:lineRule="auto"/>
      <w:outlineLvl w:val="1"/>
    </w:pPr>
    <w:rPr>
      <w:rFonts w:ascii="Arial" w:hAnsi="Arial" w:eastAsia="黑体"/>
      <w:b/>
      <w:sz w:val="32"/>
      <w:szCs w:val="20"/>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autoSpaceDE w:val="0"/>
      <w:autoSpaceDN w:val="0"/>
      <w:adjustRightInd w:val="0"/>
      <w:ind w:left="1950"/>
      <w:jc w:val="left"/>
    </w:pPr>
    <w:rPr>
      <w:rFonts w:ascii="宋体"/>
      <w:b/>
      <w:bCs/>
      <w:kern w:val="0"/>
      <w:sz w:val="40"/>
      <w:szCs w:val="40"/>
    </w:rPr>
  </w:style>
  <w:style w:type="paragraph" w:styleId="5">
    <w:name w:val="Body Text Indent"/>
    <w:basedOn w:val="1"/>
    <w:qFormat/>
    <w:uiPriority w:val="0"/>
    <w:pPr>
      <w:ind w:firstLine="560" w:firstLineChars="200"/>
    </w:pPr>
    <w:rPr>
      <w:sz w:val="28"/>
    </w:rPr>
  </w:style>
  <w:style w:type="paragraph" w:styleId="6">
    <w:name w:val="Plain Text"/>
    <w:basedOn w:val="1"/>
    <w:qFormat/>
    <w:uiPriority w:val="0"/>
    <w:rPr>
      <w:rFonts w:ascii="宋体" w:hAnsi="Plotter"/>
      <w:szCs w:val="20"/>
    </w:rPr>
  </w:style>
  <w:style w:type="paragraph" w:styleId="7">
    <w:name w:val="Body Text Indent 2"/>
    <w:basedOn w:val="1"/>
    <w:qFormat/>
    <w:uiPriority w:val="0"/>
    <w:pPr>
      <w:spacing w:line="440" w:lineRule="exact"/>
      <w:ind w:left="719" w:leftChars="86" w:hanging="538" w:hangingChars="192"/>
    </w:pPr>
    <w:rPr>
      <w:rFonts w:ascii="宋体" w:hAnsi="宋体"/>
      <w:sz w:val="28"/>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2">
    <w:name w:val="Normal (Web)"/>
    <w:basedOn w:val="1"/>
    <w:qFormat/>
    <w:uiPriority w:val="0"/>
    <w:pPr>
      <w:spacing w:beforeAutospacing="1" w:afterAutospacing="1"/>
      <w:jc w:val="left"/>
    </w:pPr>
    <w:rPr>
      <w:kern w:val="0"/>
      <w:sz w:val="24"/>
    </w:rPr>
  </w:style>
  <w:style w:type="paragraph" w:styleId="13">
    <w:name w:val="index 1"/>
    <w:basedOn w:val="1"/>
    <w:next w:val="1"/>
    <w:semiHidden/>
    <w:qFormat/>
    <w:uiPriority w:val="0"/>
  </w:style>
  <w:style w:type="character" w:styleId="15">
    <w:name w:val="page number"/>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p0"/>
    <w:basedOn w:val="1"/>
    <w:qFormat/>
    <w:uiPriority w:val="0"/>
    <w:pPr>
      <w:widowControl/>
    </w:pPr>
    <w:rPr>
      <w:kern w:val="0"/>
      <w:szCs w:val="21"/>
    </w:rPr>
  </w:style>
  <w:style w:type="character" w:customStyle="1" w:styleId="19">
    <w:name w:val="font01"/>
    <w:basedOn w:val="14"/>
    <w:qFormat/>
    <w:uiPriority w:val="0"/>
    <w:rPr>
      <w:rFonts w:ascii="font-weight : 400" w:hAnsi="font-weight : 400" w:eastAsia="font-weight : 400" w:cs="font-weight : 400"/>
      <w:color w:val="000000"/>
      <w:sz w:val="22"/>
      <w:szCs w:val="22"/>
      <w:u w:val="none"/>
    </w:rPr>
  </w:style>
  <w:style w:type="character" w:customStyle="1" w:styleId="20">
    <w:name w:val="font21"/>
    <w:basedOn w:val="14"/>
    <w:qFormat/>
    <w:uiPriority w:val="0"/>
    <w:rPr>
      <w:rFonts w:hint="eastAsia" w:ascii="宋体" w:hAnsi="宋体" w:eastAsia="宋体" w:cs="宋体"/>
      <w:color w:val="000000"/>
      <w:sz w:val="24"/>
      <w:szCs w:val="24"/>
      <w:u w:val="none"/>
    </w:rPr>
  </w:style>
  <w:style w:type="character" w:customStyle="1" w:styleId="21">
    <w:name w:val="font11"/>
    <w:basedOn w:val="14"/>
    <w:qFormat/>
    <w:uiPriority w:val="0"/>
    <w:rPr>
      <w:rFonts w:hint="default" w:ascii="等线" w:hAnsi="等线" w:eastAsia="等线" w:cs="等线"/>
      <w:color w:val="000000"/>
      <w:sz w:val="22"/>
      <w:szCs w:val="22"/>
      <w:u w:val="none"/>
    </w:rPr>
  </w:style>
  <w:style w:type="character" w:customStyle="1" w:styleId="22">
    <w:name w:val="批注框文本 字符"/>
    <w:basedOn w:val="14"/>
    <w:link w:val="8"/>
    <w:qFormat/>
    <w:uiPriority w:val="0"/>
    <w:rPr>
      <w:rFonts w:ascii="Times New Roman" w:hAnsi="Times New Roman" w:eastAsia="宋体" w:cs="Times New Roman"/>
      <w:kern w:val="2"/>
      <w:sz w:val="18"/>
      <w:szCs w:val="18"/>
    </w:rPr>
  </w:style>
  <w:style w:type="character" w:customStyle="1" w:styleId="23">
    <w:name w:val="页眉 字符"/>
    <w:basedOn w:val="14"/>
    <w:link w:val="10"/>
    <w:qFormat/>
    <w:uiPriority w:val="0"/>
    <w:rPr>
      <w:rFonts w:ascii="Times New Roman" w:hAnsi="Times New Roman" w:eastAsia="宋体" w:cs="Times New Roman"/>
      <w:kern w:val="2"/>
      <w:sz w:val="18"/>
      <w:szCs w:val="18"/>
    </w:rPr>
  </w:style>
  <w:style w:type="paragraph" w:customStyle="1" w:styleId="24">
    <w:name w:val="正文文本1"/>
    <w:basedOn w:val="1"/>
    <w:qFormat/>
    <w:uiPriority w:val="0"/>
    <w:pPr>
      <w:spacing w:line="442" w:lineRule="auto"/>
      <w:ind w:firstLine="400" w:firstLineChars="200"/>
    </w:pPr>
    <w:rPr>
      <w:rFonts w:ascii="宋体" w:hAnsi="宋体" w:cs="宋体"/>
      <w:sz w:val="36"/>
      <w:szCs w:val="36"/>
    </w:rPr>
  </w:style>
  <w:style w:type="paragraph" w:customStyle="1" w:styleId="25">
    <w:name w:val="列表段落1"/>
    <w:basedOn w:val="1"/>
    <w:qFormat/>
    <w:uiPriority w:val="99"/>
    <w:pPr>
      <w:ind w:firstLine="420" w:firstLineChars="200"/>
    </w:pPr>
  </w:style>
  <w:style w:type="character" w:customStyle="1" w:styleId="26">
    <w:name w:val="标题 2 字符"/>
    <w:basedOn w:val="14"/>
    <w:link w:val="3"/>
    <w:qFormat/>
    <w:uiPriority w:val="0"/>
    <w:rPr>
      <w:rFonts w:ascii="Arial" w:hAnsi="Arial" w:eastAsia="黑体" w:cs="Times New Roman"/>
      <w:b/>
      <w:kern w:val="2"/>
      <w:sz w:val="32"/>
    </w:rPr>
  </w:style>
  <w:style w:type="character" w:customStyle="1" w:styleId="27">
    <w:name w:val="标题 1 字符"/>
    <w:basedOn w:val="14"/>
    <w:link w:val="2"/>
    <w:qFormat/>
    <w:uiPriority w:val="0"/>
    <w:rPr>
      <w:rFonts w:ascii="Times New Roman" w:hAnsi="Times New Roman" w:eastAsia="宋体" w:cs="Times New Roman"/>
      <w:b/>
      <w:bCs/>
      <w:kern w:val="44"/>
      <w:sz w:val="44"/>
      <w:szCs w:val="44"/>
    </w:rPr>
  </w:style>
  <w:style w:type="paragraph" w:customStyle="1" w:styleId="28">
    <w:name w:val="正文（WSJ）"/>
    <w:basedOn w:val="1"/>
    <w:link w:val="29"/>
    <w:qFormat/>
    <w:uiPriority w:val="0"/>
    <w:pPr>
      <w:spacing w:line="440" w:lineRule="exact"/>
      <w:jc w:val="left"/>
    </w:pPr>
    <w:rPr>
      <w:rFonts w:eastAsia="方正仿宋_GBK"/>
      <w:sz w:val="28"/>
      <w:szCs w:val="20"/>
    </w:rPr>
  </w:style>
  <w:style w:type="character" w:customStyle="1" w:styleId="29">
    <w:name w:val="正文（WSJ） 字符"/>
    <w:link w:val="28"/>
    <w:qFormat/>
    <w:uiPriority w:val="0"/>
    <w:rPr>
      <w:rFonts w:ascii="Times New Roman" w:hAnsi="Times New Roman" w:eastAsia="方正仿宋_GBK" w:cs="Times New Roman"/>
      <w:kern w:val="2"/>
      <w:sz w:val="28"/>
    </w:rPr>
  </w:style>
  <w:style w:type="paragraph" w:customStyle="1" w:styleId="30">
    <w:name w:val="_Style 2"/>
    <w:basedOn w:val="1"/>
    <w:qFormat/>
    <w:uiPriority w:val="34"/>
    <w:pPr>
      <w:ind w:firstLine="420" w:firstLineChars="200"/>
    </w:pPr>
  </w:style>
  <w:style w:type="paragraph" w:customStyle="1" w:styleId="31">
    <w:name w:val="Table Paragraph"/>
    <w:basedOn w:val="1"/>
    <w:qFormat/>
    <w:uiPriority w:val="1"/>
    <w:pPr>
      <w:autoSpaceDE w:val="0"/>
      <w:autoSpaceDN w:val="0"/>
      <w:adjustRightInd w:val="0"/>
      <w:jc w:val="left"/>
    </w:pPr>
    <w:rPr>
      <w:kern w:val="0"/>
      <w:sz w:val="24"/>
    </w:rPr>
  </w:style>
  <w:style w:type="character" w:customStyle="1" w:styleId="32">
    <w:name w:val="纯文本 Char1"/>
    <w:qFormat/>
    <w:uiPriority w:val="0"/>
    <w:rPr>
      <w:rFonts w:ascii="宋体" w:hAnsi="Courier New" w:cs="Courier New"/>
      <w:kern w:val="2"/>
      <w:sz w:val="21"/>
      <w:szCs w:val="21"/>
    </w:rPr>
  </w:style>
  <w:style w:type="character" w:customStyle="1" w:styleId="33">
    <w:name w:val="15"/>
    <w:basedOn w:val="14"/>
    <w:qFormat/>
    <w:uiPriority w:val="0"/>
    <w:rPr>
      <w:rFonts w:hint="default" w:ascii="Times New Roman" w:hAnsi="Times New Roman" w:cs="Times New Roman"/>
    </w:rPr>
  </w:style>
  <w:style w:type="character" w:customStyle="1" w:styleId="34">
    <w:name w:val="10"/>
    <w:basedOn w:val="1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3965</Words>
  <Characters>22603</Characters>
  <Lines>188</Lines>
  <Paragraphs>53</Paragraphs>
  <ScaleCrop>false</ScaleCrop>
  <LinksUpToDate>false</LinksUpToDate>
  <CharactersWithSpaces>26515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2024-12-06T00:48:00Z</dcterms:created>
  <dc:creator>Administrator</dc:creator>
  <cp:lastModifiedBy>Administrator</cp:lastModifiedBy>
  <cp:lastPrinted>2025-02-17T07:42:00Z</cp:lastPrinted>
  <dcterms:modified xsi:type="dcterms:W3CDTF">2026-03-02T09:24:48Z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1FC669BE90984CB4B0EFEA3301143D5E</vt:lpwstr>
  </property>
</Properties>
</file>